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default" w:ascii="仿宋" w:hAnsi="仿宋" w:eastAsia="仿宋"/>
          <w:lang w:val="en-US" w:eastAsia="zh-CN"/>
        </w:rPr>
      </w:pPr>
      <w:r>
        <w:rPr>
          <w:rFonts w:hint="eastAsia" w:ascii="仿宋" w:hAnsi="仿宋" w:eastAsia="仿宋"/>
        </w:rPr>
        <w:t>互联互通预测评技术服务</w:t>
      </w:r>
      <w:r>
        <w:rPr>
          <w:rFonts w:hint="eastAsia" w:ascii="仿宋" w:hAnsi="仿宋" w:eastAsia="仿宋"/>
          <w:lang w:val="en-US" w:eastAsia="zh-CN"/>
        </w:rPr>
        <w:t>采购项目</w:t>
      </w:r>
    </w:p>
    <w:p>
      <w:pPr>
        <w:rPr>
          <w:rFonts w:hint="default" w:eastAsia="宋体"/>
          <w:sz w:val="24"/>
          <w:lang w:val="en-US" w:eastAsia="zh-CN"/>
        </w:rPr>
      </w:pPr>
      <w:r>
        <w:rPr>
          <w:rFonts w:hint="eastAsia"/>
          <w:sz w:val="24"/>
        </w:rPr>
        <w:t>项目名称：互联互通标准化成熟度测评</w:t>
      </w:r>
      <w:r>
        <w:rPr>
          <w:rFonts w:hint="default"/>
          <w:sz w:val="24"/>
          <w:lang w:val="en-US"/>
        </w:rPr>
        <w:t>预测技术服务</w:t>
      </w:r>
      <w:r>
        <w:rPr>
          <w:rFonts w:hint="default"/>
          <w:sz w:val="24"/>
          <w:lang w:val="en-US" w:eastAsia="zh-CN"/>
        </w:rPr>
        <w:t>采购项目</w:t>
      </w:r>
    </w:p>
    <w:p>
      <w:pPr>
        <w:pStyle w:val="12"/>
        <w:numPr>
          <w:ilvl w:val="0"/>
          <w:numId w:val="1"/>
        </w:numPr>
        <w:tabs>
          <w:tab w:val="left" w:pos="5548"/>
        </w:tabs>
        <w:outlineLvl w:val="2"/>
        <w:rPr>
          <w:rFonts w:ascii="仿宋" w:hAnsi="仿宋" w:eastAsia="仿宋"/>
          <w:color w:val="auto"/>
        </w:rPr>
      </w:pPr>
      <w:r>
        <w:rPr>
          <w:rFonts w:hint="eastAsia" w:ascii="仿宋" w:hAnsi="仿宋" w:eastAsia="仿宋"/>
          <w:color w:val="auto"/>
        </w:rPr>
        <w:t>项目需求说明</w:t>
      </w:r>
    </w:p>
    <w:p>
      <w:pPr>
        <w:pStyle w:val="13"/>
        <w:spacing w:line="360" w:lineRule="auto"/>
        <w:ind w:firstLine="480"/>
        <w:rPr>
          <w:rFonts w:ascii="宋体" w:hAnsi="宋体" w:cs="宋体"/>
          <w:sz w:val="24"/>
        </w:rPr>
      </w:pPr>
      <w:r>
        <w:rPr>
          <w:rFonts w:ascii="宋体" w:hAnsi="宋体" w:cs="宋体"/>
          <w:sz w:val="24"/>
        </w:rPr>
        <w:t>医院信息互联互通标准化成熟度测评</w:t>
      </w:r>
      <w:r>
        <w:rPr>
          <w:rFonts w:hint="eastAsia" w:ascii="宋体" w:hAnsi="宋体" w:cs="宋体"/>
          <w:sz w:val="24"/>
        </w:rPr>
        <w:t>是</w:t>
      </w:r>
      <w:r>
        <w:rPr>
          <w:rFonts w:ascii="宋体" w:hAnsi="宋体" w:cs="宋体"/>
          <w:sz w:val="24"/>
        </w:rPr>
        <w:t>依据电子病历基本数据集、电子病历共享文档规范、基于电子病历的医院信息平台技术规范等标准建立了多维度的测评指标体系，从数据资源标准化建设情况、互联互通标准化建设情况、基础设施建设建设和互联互通应用效果等方面进行综合测评，评定医院信息互联互通标准化成熟度</w:t>
      </w:r>
      <w:r>
        <w:rPr>
          <w:rFonts w:hint="eastAsia" w:ascii="宋体" w:hAnsi="宋体" w:cs="宋体"/>
          <w:sz w:val="24"/>
        </w:rPr>
        <w:t>。</w:t>
      </w:r>
    </w:p>
    <w:p>
      <w:pPr>
        <w:pStyle w:val="13"/>
        <w:spacing w:line="360" w:lineRule="auto"/>
        <w:ind w:firstLine="480"/>
        <w:rPr>
          <w:rFonts w:ascii="宋体" w:hAnsi="宋体" w:cs="宋体"/>
          <w:sz w:val="24"/>
        </w:rPr>
      </w:pPr>
      <w:r>
        <w:rPr>
          <w:rFonts w:hint="eastAsia" w:ascii="宋体" w:hAnsi="宋体" w:cs="宋体"/>
          <w:sz w:val="24"/>
        </w:rPr>
        <w:t>定量测试是指使用国家组织专家利用专用测试工具进行电子病历共享文档和互联互通标准服务验证，若测试不通过，一票否决。定性评价主要根据医院信息互联互通标准化成熟度测评中的定性指标，通过文件审查、现场验证、现场确认和演示答疑等形式对测评对象在实际生产环境中的运行情况进行验证测评和打分，根据最终得分确定医院信息互联互通标准化成熟度级别。</w:t>
      </w:r>
    </w:p>
    <w:p>
      <w:pPr>
        <w:pStyle w:val="13"/>
        <w:spacing w:line="360" w:lineRule="auto"/>
        <w:ind w:firstLine="480"/>
        <w:rPr>
          <w:rFonts w:hint="default" w:ascii="宋体" w:hAnsi="宋体" w:eastAsia="宋体" w:cs="宋体"/>
          <w:sz w:val="24"/>
          <w:lang w:val="en-US" w:eastAsia="zh-CN"/>
        </w:rPr>
      </w:pPr>
      <w:r>
        <w:rPr>
          <w:rFonts w:hint="eastAsia" w:ascii="宋体" w:hAnsi="宋体" w:cs="宋体"/>
          <w:sz w:val="24"/>
          <w:lang w:val="en-US" w:eastAsia="zh-CN"/>
        </w:rPr>
        <w:t>为开展我院互联互通标准化成熟度测评工作，拟采购</w:t>
      </w:r>
      <w:r>
        <w:rPr>
          <w:rFonts w:hint="eastAsia" w:ascii="宋体" w:hAnsi="宋体" w:cs="宋体"/>
          <w:sz w:val="24"/>
        </w:rPr>
        <w:t>专业第三方</w:t>
      </w:r>
      <w:r>
        <w:rPr>
          <w:rFonts w:hint="eastAsia" w:ascii="宋体" w:hAnsi="宋体" w:cs="宋体"/>
          <w:sz w:val="24"/>
          <w:lang w:val="en-US" w:eastAsia="zh-CN"/>
        </w:rPr>
        <w:t xml:space="preserve">工具，支持医院测评全流程支持。                         </w:t>
      </w:r>
    </w:p>
    <w:p>
      <w:pPr>
        <w:pStyle w:val="12"/>
        <w:numPr>
          <w:ilvl w:val="0"/>
          <w:numId w:val="1"/>
        </w:numPr>
        <w:tabs>
          <w:tab w:val="left" w:pos="5548"/>
        </w:tabs>
        <w:outlineLvl w:val="2"/>
        <w:rPr>
          <w:rFonts w:ascii="仿宋" w:hAnsi="仿宋" w:eastAsia="仿宋"/>
          <w:color w:val="auto"/>
        </w:rPr>
      </w:pPr>
      <w:bookmarkStart w:id="0" w:name="_Toc24611"/>
      <w:bookmarkStart w:id="1" w:name="_Toc32744"/>
      <w:bookmarkStart w:id="2" w:name="_Toc46738410"/>
      <w:bookmarkStart w:id="3" w:name="_Toc266369064"/>
      <w:bookmarkStart w:id="4" w:name="_Toc23939"/>
      <w:bookmarkStart w:id="5" w:name="_Toc46738283"/>
      <w:bookmarkStart w:id="6" w:name="_Toc12118333"/>
      <w:bookmarkStart w:id="7" w:name="_Toc7078"/>
      <w:bookmarkStart w:id="8" w:name="_Toc46738149"/>
      <w:bookmarkStart w:id="9" w:name="_Toc7221"/>
      <w:bookmarkStart w:id="10" w:name="_Toc142972301"/>
      <w:r>
        <w:rPr>
          <w:rFonts w:hint="eastAsia" w:ascii="仿宋" w:hAnsi="仿宋" w:eastAsia="仿宋"/>
          <w:color w:val="auto"/>
        </w:rPr>
        <w:t>技术要求</w:t>
      </w:r>
      <w:bookmarkEnd w:id="0"/>
      <w:bookmarkEnd w:id="1"/>
      <w:bookmarkEnd w:id="2"/>
      <w:bookmarkEnd w:id="3"/>
      <w:bookmarkEnd w:id="4"/>
      <w:bookmarkEnd w:id="5"/>
      <w:bookmarkEnd w:id="6"/>
      <w:bookmarkEnd w:id="7"/>
      <w:bookmarkEnd w:id="8"/>
      <w:bookmarkEnd w:id="9"/>
      <w:bookmarkEnd w:id="10"/>
    </w:p>
    <w:p>
      <w:pPr>
        <w:pStyle w:val="13"/>
        <w:spacing w:line="360" w:lineRule="auto"/>
        <w:ind w:firstLine="480"/>
        <w:rPr>
          <w:rFonts w:ascii="宋体" w:hAnsi="宋体" w:cs="宋体"/>
          <w:sz w:val="24"/>
        </w:rPr>
      </w:pPr>
      <w:r>
        <w:rPr>
          <w:rFonts w:hint="eastAsia" w:ascii="宋体" w:hAnsi="宋体" w:cs="宋体"/>
          <w:sz w:val="24"/>
        </w:rPr>
        <w:t>通过对被测对象分析和理解，为了保证平台服务以及数据的标准符合性，应从以数据集标准符合性，共享文档标准符合性，交互服务标准符合性这三个方面进行考量。具体预测内容如下：</w:t>
      </w:r>
    </w:p>
    <w:p>
      <w:pPr>
        <w:pStyle w:val="13"/>
        <w:spacing w:line="360" w:lineRule="auto"/>
        <w:rPr>
          <w:rFonts w:ascii="宋体" w:hAnsi="宋体" w:cs="宋体"/>
        </w:rPr>
      </w:pPr>
    </w:p>
    <w:tbl>
      <w:tblPr>
        <w:tblStyle w:val="7"/>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33"/>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3133" w:type="dxa"/>
            <w:vAlign w:val="center"/>
          </w:tcPr>
          <w:p>
            <w:pPr>
              <w:pStyle w:val="14"/>
              <w:rPr>
                <w:rFonts w:ascii="宋体" w:hAnsi="宋体" w:eastAsia="宋体" w:cs="宋体"/>
                <w:b/>
                <w:bCs/>
                <w:szCs w:val="21"/>
              </w:rPr>
            </w:pPr>
            <w:r>
              <w:rPr>
                <w:rFonts w:hint="eastAsia" w:ascii="宋体" w:hAnsi="宋体" w:eastAsia="宋体" w:cs="宋体"/>
                <w:b/>
                <w:bCs/>
                <w:szCs w:val="21"/>
              </w:rPr>
              <w:t>服务阶段</w:t>
            </w:r>
          </w:p>
        </w:tc>
        <w:tc>
          <w:tcPr>
            <w:tcW w:w="5766" w:type="dxa"/>
            <w:vAlign w:val="center"/>
          </w:tcPr>
          <w:p>
            <w:pPr>
              <w:pStyle w:val="14"/>
              <w:rPr>
                <w:rFonts w:ascii="宋体" w:hAnsi="宋体" w:eastAsia="宋体" w:cs="宋体"/>
                <w:b/>
                <w:bCs/>
                <w:szCs w:val="21"/>
              </w:rPr>
            </w:pPr>
            <w:r>
              <w:rPr>
                <w:rFonts w:hint="eastAsia" w:ascii="宋体" w:hAnsi="宋体" w:eastAsia="宋体" w:cs="宋体"/>
                <w:b/>
                <w:bCs/>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restart"/>
            <w:vAlign w:val="center"/>
          </w:tcPr>
          <w:p>
            <w:pPr>
              <w:pStyle w:val="15"/>
              <w:spacing w:line="360" w:lineRule="auto"/>
              <w:rPr>
                <w:rFonts w:ascii="宋体" w:hAnsi="宋体" w:cs="宋体"/>
                <w:szCs w:val="21"/>
                <w:lang w:val="en-US"/>
              </w:rPr>
            </w:pPr>
            <w:r>
              <w:rPr>
                <w:rFonts w:hint="eastAsia" w:ascii="宋体" w:hAnsi="宋体" w:cs="宋体"/>
                <w:szCs w:val="21"/>
                <w:lang w:val="en-US"/>
              </w:rPr>
              <w:t>测评申请阶段</w:t>
            </w:r>
          </w:p>
        </w:tc>
        <w:tc>
          <w:tcPr>
            <w:tcW w:w="5766" w:type="dxa"/>
            <w:vAlign w:val="center"/>
          </w:tcPr>
          <w:p>
            <w:pPr>
              <w:pStyle w:val="15"/>
              <w:spacing w:line="360" w:lineRule="auto"/>
              <w:rPr>
                <w:rFonts w:hint="eastAsia" w:ascii="宋体" w:hAnsi="宋体" w:eastAsia="宋体" w:cs="宋体"/>
                <w:szCs w:val="21"/>
                <w:lang w:val="en-US" w:eastAsia="zh-CN"/>
              </w:rPr>
            </w:pPr>
            <w:r>
              <w:rPr>
                <w:rFonts w:hint="eastAsia" w:ascii="宋体" w:hAnsi="宋体" w:cs="宋体"/>
                <w:szCs w:val="21"/>
                <w:lang w:val="en-US"/>
              </w:rPr>
              <w:t>建立良好沟通机制，通过电话沟通，远程等方式协助申请机构在“中国卫生信息标准网(http://www.chiss.org.cn/)一一测评管理系统”注册用户帐号，并跟进测评机构信息审核进度</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 w:hRule="atLeast"/>
          <w:jc w:val="center"/>
        </w:trPr>
        <w:tc>
          <w:tcPr>
            <w:tcW w:w="3133" w:type="dxa"/>
            <w:vMerge w:val="continue"/>
            <w:tcBorders/>
            <w:vAlign w:val="center"/>
          </w:tcPr>
          <w:p>
            <w:pPr>
              <w:pStyle w:val="15"/>
              <w:spacing w:line="360" w:lineRule="auto"/>
              <w:rPr>
                <w:rFonts w:ascii="宋体" w:hAnsi="宋体" w:cs="宋体"/>
                <w:szCs w:val="21"/>
                <w:lang w:val="en-US"/>
              </w:rPr>
            </w:pPr>
          </w:p>
        </w:tc>
        <w:tc>
          <w:tcPr>
            <w:tcW w:w="5766" w:type="dxa"/>
            <w:vAlign w:val="center"/>
          </w:tcPr>
          <w:p>
            <w:pPr>
              <w:pStyle w:val="15"/>
              <w:spacing w:line="360" w:lineRule="auto"/>
              <w:rPr>
                <w:rFonts w:hint="eastAsia" w:ascii="宋体" w:hAnsi="宋体" w:eastAsia="宋体" w:cs="宋体"/>
                <w:szCs w:val="21"/>
                <w:lang w:val="en-US" w:eastAsia="zh-CN"/>
              </w:rPr>
            </w:pPr>
            <w:r>
              <w:rPr>
                <w:rFonts w:hint="eastAsia" w:ascii="宋体" w:hAnsi="宋体" w:cs="宋体"/>
                <w:szCs w:val="21"/>
                <w:lang w:val="en-US"/>
              </w:rPr>
              <w:t>按照测评指标体系，协助申请机构进行在线自评</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rPr>
                <w:rFonts w:ascii="宋体" w:hAnsi="宋体" w:cs="宋体"/>
                <w:szCs w:val="21"/>
                <w:lang w:val="en-US"/>
              </w:rPr>
            </w:pPr>
          </w:p>
        </w:tc>
        <w:tc>
          <w:tcPr>
            <w:tcW w:w="5766" w:type="dxa"/>
            <w:vAlign w:val="center"/>
          </w:tcPr>
          <w:p>
            <w:pPr>
              <w:pStyle w:val="15"/>
              <w:spacing w:line="360" w:lineRule="auto"/>
              <w:rPr>
                <w:rFonts w:hint="eastAsia" w:ascii="宋体" w:hAnsi="宋体" w:eastAsia="宋体" w:cs="宋体"/>
                <w:szCs w:val="21"/>
                <w:lang w:val="en-US" w:eastAsia="zh-CN"/>
              </w:rPr>
            </w:pPr>
            <w:r>
              <w:rPr>
                <w:rFonts w:hint="eastAsia" w:ascii="宋体" w:hAnsi="宋体" w:cs="宋体"/>
                <w:szCs w:val="21"/>
                <w:lang w:val="en-US"/>
              </w:rPr>
              <w:t>编写互联互通测评申报指南，协助申请机构实施测评申请工作</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rPr>
                <w:rFonts w:ascii="宋体" w:hAnsi="宋体" w:cs="宋体"/>
                <w:szCs w:val="21"/>
              </w:rPr>
            </w:pPr>
          </w:p>
        </w:tc>
        <w:tc>
          <w:tcPr>
            <w:tcW w:w="5766" w:type="dxa"/>
            <w:vAlign w:val="center"/>
          </w:tcPr>
          <w:p>
            <w:pPr>
              <w:pStyle w:val="15"/>
              <w:spacing w:line="360" w:lineRule="auto"/>
              <w:rPr>
                <w:rFonts w:ascii="宋体" w:hAnsi="宋体" w:cs="宋体"/>
                <w:szCs w:val="21"/>
              </w:rPr>
            </w:pPr>
            <w:r>
              <w:rPr>
                <w:rFonts w:hint="eastAsia" w:ascii="宋体" w:hAnsi="宋体" w:cs="宋体"/>
                <w:szCs w:val="21"/>
              </w:rPr>
              <w:t>协助申请机构按照《区域卫生信息互联互通标准化成熟度测评申请材料》中相关要求准备材料，并登录“测评管理系统”，向管理机构提交区域卫生信息互联互通测评的申请</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rPr>
                <w:rFonts w:ascii="宋体" w:hAnsi="宋体" w:cs="宋体"/>
                <w:szCs w:val="21"/>
              </w:rPr>
            </w:pPr>
          </w:p>
        </w:tc>
        <w:tc>
          <w:tcPr>
            <w:tcW w:w="5766" w:type="dxa"/>
            <w:vAlign w:val="center"/>
          </w:tcPr>
          <w:p>
            <w:pPr>
              <w:pStyle w:val="15"/>
              <w:spacing w:line="360" w:lineRule="auto"/>
              <w:rPr>
                <w:rFonts w:ascii="宋体" w:hAnsi="宋体" w:cs="宋体"/>
                <w:szCs w:val="21"/>
              </w:rPr>
            </w:pPr>
            <w:r>
              <w:rPr>
                <w:rFonts w:hint="eastAsia" w:ascii="宋体" w:hAnsi="宋体" w:cs="宋体"/>
                <w:szCs w:val="21"/>
              </w:rPr>
              <w:t>协助与分级管理机构对接跟进申请机构资质申请在线审核进度，解决测评申请环节问题。测评申请过程中，本公司可以为申请机构提供测评业务咨询，测评系统操作指导等服务，针对测评过程中任何个环节提供测评相关咨询、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restart"/>
            <w:vAlign w:val="center"/>
          </w:tcPr>
          <w:p>
            <w:pPr>
              <w:pStyle w:val="15"/>
              <w:spacing w:line="360" w:lineRule="auto"/>
              <w:rPr>
                <w:rFonts w:hint="default" w:eastAsia="宋体"/>
                <w:lang w:val="en-US" w:eastAsia="zh-CN"/>
              </w:rPr>
            </w:pPr>
            <w:r>
              <w:rPr>
                <w:rFonts w:hint="eastAsia"/>
                <w:lang w:val="en-US" w:eastAsia="zh-CN"/>
              </w:rPr>
              <w:t>国家预审（盲审）阶段</w:t>
            </w:r>
          </w:p>
        </w:tc>
        <w:tc>
          <w:tcPr>
            <w:tcW w:w="5766" w:type="dxa"/>
            <w:vAlign w:val="center"/>
          </w:tcPr>
          <w:p>
            <w:pPr>
              <w:pStyle w:val="15"/>
              <w:spacing w:line="360" w:lineRule="auto"/>
              <w:rPr>
                <w:rFonts w:hint="eastAsia" w:eastAsia="宋体"/>
                <w:lang w:eastAsia="zh-CN"/>
              </w:rPr>
            </w:pPr>
            <w:r>
              <w:rPr>
                <w:rFonts w:hint="eastAsia"/>
              </w:rPr>
              <w:t>针对盲审要求，利用我们积累的技术及经验，必要时组织专家，对申请机构证明材料进行预评估审核，辅导初评工作</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盲审前根据国家和本省的测评进度，及时协助调整上传更新的证明材料和申请材料</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对接国家级管理机构，跟进预审测评进度，实时解决盲审出现问题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restart"/>
            <w:vAlign w:val="center"/>
          </w:tcPr>
          <w:p>
            <w:pPr>
              <w:pStyle w:val="15"/>
              <w:spacing w:line="360" w:lineRule="auto"/>
            </w:pPr>
            <w:r>
              <w:rPr>
                <w:rFonts w:hint="eastAsia"/>
              </w:rPr>
              <w:t>现场查验定量阶段</w:t>
            </w:r>
          </w:p>
        </w:tc>
        <w:tc>
          <w:tcPr>
            <w:tcW w:w="5766" w:type="dxa"/>
            <w:vAlign w:val="center"/>
          </w:tcPr>
          <w:p>
            <w:pPr>
              <w:pStyle w:val="15"/>
              <w:spacing w:line="360" w:lineRule="auto"/>
            </w:pPr>
            <w:r>
              <w:rPr>
                <w:rFonts w:hint="eastAsia"/>
              </w:rPr>
              <w:t>为申请机构提供预测及问题诊断服务。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根据标准化成熟度测评的要求，协助申请机构对测评对象进行测试改造，以适用于标准化成熟度定量指标测试和定性指标评审的要求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与申请机构对接，协助其按照标准化成熟度测评的数据样本格式的要求，准备测试数据样本和测评对象的技术文件;配合申请机构搭建配置定量模拟测试环境，准备定量测试预测</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根据申请机构需求，委派经验丰富的定量测试专家，进行 1次现场查验定量预测</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pPr>
            <w:r>
              <w:rPr>
                <w:rFonts w:hint="eastAsia"/>
              </w:rPr>
              <w:t>测试组设计测试用例和准备测试数据样本，明确测试方法、测试边界要求、测试场地和符合性判定依据，根据正式现场查验要求执行现场查验定量预测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restart"/>
            <w:vAlign w:val="center"/>
          </w:tcPr>
          <w:p>
            <w:pPr>
              <w:jc w:val="both"/>
            </w:pPr>
            <w:r>
              <w:rPr>
                <w:rFonts w:hint="eastAsia"/>
                <w:sz w:val="24"/>
              </w:rPr>
              <w:t>现场验定性阶段</w:t>
            </w:r>
          </w:p>
        </w:tc>
        <w:tc>
          <w:tcPr>
            <w:tcW w:w="5766" w:type="dxa"/>
            <w:vAlign w:val="center"/>
          </w:tcPr>
          <w:p>
            <w:pPr>
              <w:pStyle w:val="15"/>
              <w:spacing w:line="360" w:lineRule="auto"/>
              <w:rPr>
                <w:rFonts w:hint="eastAsia" w:eastAsia="宋体"/>
                <w:lang w:val="en-US" w:eastAsia="zh-CN"/>
              </w:rPr>
            </w:pPr>
            <w:r>
              <w:rPr>
                <w:rFonts w:hint="eastAsia"/>
              </w:rPr>
              <w:t>根据申请机构准备情况，按照申请机构需求，从互联互通测评专家库中推荐定性专家，组织专家进行 1次现场查验预评审，实战性</w:t>
            </w:r>
            <w:r>
              <w:rPr>
                <w:rFonts w:hint="eastAsia"/>
                <w:lang w:val="en-US" w:eastAsia="zh-CN"/>
              </w:rPr>
              <w:t>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协助制定现场查验方案</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现场查验证明材料评审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133" w:type="dxa"/>
            <w:vMerge w:val="continue"/>
            <w:tcBorders/>
            <w:vAlign w:val="center"/>
          </w:tcPr>
          <w:p>
            <w:pPr>
              <w:pStyle w:val="15"/>
              <w:spacing w:line="360" w:lineRule="auto"/>
            </w:pPr>
          </w:p>
        </w:tc>
        <w:tc>
          <w:tcPr>
            <w:tcW w:w="5766" w:type="dxa"/>
            <w:vAlign w:val="center"/>
          </w:tcPr>
          <w:p>
            <w:pPr>
              <w:pStyle w:val="15"/>
              <w:spacing w:line="360" w:lineRule="auto"/>
              <w:rPr>
                <w:rFonts w:hint="eastAsia" w:eastAsia="宋体"/>
                <w:lang w:eastAsia="zh-CN"/>
              </w:rPr>
            </w:pPr>
            <w:r>
              <w:rPr>
                <w:rFonts w:hint="eastAsia"/>
              </w:rPr>
              <w:t>测评过程为申请机构提供互联互通测评咨询服务，咨询服务形式包括:电话、QQ、微信、邮件等</w:t>
            </w:r>
            <w:r>
              <w:rPr>
                <w:rFonts w:hint="eastAsia"/>
                <w:lang w:eastAsia="zh-CN"/>
              </w:rPr>
              <w:t>。</w:t>
            </w:r>
            <w:bookmarkStart w:id="11" w:name="_GoBack"/>
            <w:bookmarkEnd w:id="11"/>
          </w:p>
        </w:tc>
      </w:tr>
    </w:tbl>
    <w:p>
      <w:pPr>
        <w:pStyle w:val="12"/>
        <w:numPr>
          <w:ilvl w:val="0"/>
          <w:numId w:val="1"/>
        </w:numPr>
        <w:tabs>
          <w:tab w:val="left" w:pos="5548"/>
        </w:tabs>
        <w:outlineLvl w:val="2"/>
        <w:rPr>
          <w:rFonts w:ascii="仿宋" w:hAnsi="仿宋" w:eastAsia="仿宋"/>
          <w:color w:val="auto"/>
        </w:rPr>
      </w:pPr>
      <w:r>
        <w:rPr>
          <w:rFonts w:hint="eastAsia" w:ascii="仿宋" w:hAnsi="仿宋" w:eastAsia="仿宋"/>
          <w:color w:val="auto"/>
        </w:rPr>
        <w:t>服务内容</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乙方根据甲方需求，提供非涉密、可公开的定量指标相关技术资料供参考；</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协助测评申请环节准备工作；</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提供定量指标的预测评服务；</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提供现场定量指标抽测方案解读、定量指标整改咨询服务、以及组织测试人员进行一次定量指标抽测服务；</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提供文审咨询及资料预审工作，评审内容包括需要提交文审证明材料和PPT等，并根据实际情况提出修改建议；</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提供现场查验方案解读，包括现场查验流程、准备、部署等工作解读服务；</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提供定性指标评审要求解读等服务；</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组织国家级或省级专家进行一次现场查验实战模拟评审工作；</w:t>
      </w:r>
    </w:p>
    <w:p>
      <w:pPr>
        <w:widowControl/>
        <w:numPr>
          <w:ilvl w:val="0"/>
          <w:numId w:val="2"/>
        </w:numPr>
        <w:spacing w:line="360" w:lineRule="auto"/>
        <w:jc w:val="left"/>
        <w:rPr>
          <w:rFonts w:ascii="宋体" w:hAnsi="宋体" w:cs="宋体"/>
          <w:kern w:val="0"/>
          <w:sz w:val="24"/>
        </w:rPr>
      </w:pPr>
      <w:r>
        <w:rPr>
          <w:rFonts w:hint="eastAsia" w:ascii="宋体" w:hAnsi="宋体" w:cs="宋体"/>
          <w:kern w:val="0"/>
          <w:sz w:val="24"/>
        </w:rPr>
        <w:t>为申请机构提供互联互通测评全流程咨询服务，咨询服务形式包括：电话、邮件、QQ、微信等。</w:t>
      </w:r>
    </w:p>
    <w:p>
      <w:pPr>
        <w:pStyle w:val="2"/>
      </w:pPr>
    </w:p>
    <w:p>
      <w:pPr>
        <w:pStyle w:val="12"/>
        <w:numPr>
          <w:ilvl w:val="0"/>
          <w:numId w:val="1"/>
        </w:numPr>
        <w:tabs>
          <w:tab w:val="left" w:pos="5548"/>
        </w:tabs>
        <w:outlineLvl w:val="2"/>
        <w:rPr>
          <w:rFonts w:ascii="仿宋" w:hAnsi="仿宋" w:eastAsia="仿宋"/>
          <w:color w:val="auto"/>
        </w:rPr>
      </w:pPr>
      <w:r>
        <w:rPr>
          <w:rFonts w:hint="eastAsia" w:ascii="仿宋" w:hAnsi="仿宋" w:eastAsia="仿宋"/>
          <w:color w:val="auto"/>
          <w:lang w:val="en-US" w:eastAsia="zh-CN"/>
        </w:rPr>
        <w:t>项目预算限额</w:t>
      </w:r>
    </w:p>
    <w:p>
      <w:pPr>
        <w:widowControl/>
        <w:spacing w:line="360" w:lineRule="auto"/>
        <w:ind w:left="420"/>
        <w:jc w:val="left"/>
        <w:rPr>
          <w:rFonts w:hint="eastAsia" w:ascii="宋体" w:hAnsi="宋体" w:cs="宋体"/>
          <w:kern w:val="0"/>
          <w:sz w:val="24"/>
          <w:lang w:val="en-US" w:eastAsia="zh-CN"/>
        </w:rPr>
      </w:pPr>
      <w:r>
        <w:rPr>
          <w:rFonts w:hint="eastAsia"/>
          <w:sz w:val="24"/>
        </w:rPr>
        <w:t>医院互联互通标准化成熟度测评预测技术服务</w:t>
      </w:r>
      <w:r>
        <w:rPr>
          <w:rFonts w:hint="eastAsia"/>
          <w:sz w:val="24"/>
          <w:lang w:val="en-US" w:eastAsia="zh-CN"/>
        </w:rPr>
        <w:t>采购项目预算金额</w:t>
      </w:r>
      <w:r>
        <w:rPr>
          <w:rFonts w:hint="eastAsia" w:ascii="宋体" w:hAnsi="宋体" w:cs="宋体"/>
          <w:kern w:val="0"/>
          <w:sz w:val="24"/>
        </w:rPr>
        <w:t>1</w:t>
      </w:r>
      <w:r>
        <w:rPr>
          <w:rFonts w:ascii="宋体" w:hAnsi="宋体" w:cs="宋体"/>
          <w:kern w:val="0"/>
          <w:sz w:val="24"/>
        </w:rPr>
        <w:t>5</w:t>
      </w:r>
      <w:r>
        <w:rPr>
          <w:rFonts w:hint="eastAsia" w:ascii="宋体" w:hAnsi="宋体" w:cs="宋体"/>
          <w:kern w:val="0"/>
          <w:sz w:val="24"/>
          <w:lang w:val="en-US" w:eastAsia="zh-CN"/>
        </w:rPr>
        <w:t>万元。</w:t>
      </w:r>
    </w:p>
    <w:p>
      <w:pPr>
        <w:pStyle w:val="2"/>
        <w:rPr>
          <w:rFonts w:hint="default"/>
          <w:lang w:val="en-US" w:eastAsia="zh-CN"/>
        </w:rPr>
      </w:pPr>
    </w:p>
    <w:p>
      <w:pPr>
        <w:pStyle w:val="12"/>
        <w:numPr>
          <w:ilvl w:val="0"/>
          <w:numId w:val="1"/>
        </w:numPr>
        <w:tabs>
          <w:tab w:val="left" w:pos="5548"/>
        </w:tabs>
        <w:outlineLvl w:val="2"/>
        <w:rPr>
          <w:rFonts w:hint="eastAsia" w:ascii="仿宋" w:hAnsi="仿宋" w:eastAsia="仿宋"/>
          <w:color w:val="auto"/>
          <w:lang w:val="en-US" w:eastAsia="zh-CN"/>
        </w:rPr>
      </w:pPr>
      <w:r>
        <w:rPr>
          <w:rFonts w:hint="eastAsia" w:ascii="仿宋" w:hAnsi="仿宋" w:eastAsia="仿宋"/>
          <w:color w:val="auto"/>
          <w:lang w:val="en-US" w:eastAsia="zh-CN"/>
        </w:rPr>
        <w:t>服务有效期要求</w:t>
      </w:r>
    </w:p>
    <w:p>
      <w:pPr>
        <w:widowControl/>
        <w:spacing w:line="360" w:lineRule="auto"/>
        <w:ind w:left="420"/>
        <w:jc w:val="left"/>
        <w:rPr>
          <w:rFonts w:hint="default"/>
          <w:sz w:val="24"/>
          <w:lang w:val="en-US" w:eastAsia="zh-CN"/>
        </w:rPr>
      </w:pPr>
      <w:r>
        <w:rPr>
          <w:rFonts w:hint="eastAsia"/>
          <w:sz w:val="24"/>
          <w:lang w:val="en-US" w:eastAsia="zh-CN"/>
        </w:rPr>
        <w:t>工具有效期自合同签订日起，直至医院通过国家医疗健康信息互联互通标准化成熟度测评。</w:t>
      </w:r>
    </w:p>
    <w:p>
      <w:pPr>
        <w:widowControl/>
        <w:spacing w:line="360" w:lineRule="auto"/>
        <w:ind w:left="420"/>
        <w:jc w:val="left"/>
        <w:rPr>
          <w:rFonts w:ascii="宋体" w:hAnsi="宋体" w:cs="宋体"/>
          <w:kern w:val="0"/>
          <w:sz w:val="24"/>
        </w:rPr>
      </w:pPr>
    </w:p>
    <w:p>
      <w:pPr>
        <w:pStyle w:val="12"/>
        <w:numPr>
          <w:ilvl w:val="0"/>
          <w:numId w:val="1"/>
        </w:numPr>
        <w:tabs>
          <w:tab w:val="left" w:pos="5548"/>
        </w:tabs>
        <w:outlineLvl w:val="2"/>
        <w:rPr>
          <w:rFonts w:hint="eastAsia" w:ascii="仿宋" w:hAnsi="仿宋" w:eastAsia="仿宋"/>
          <w:color w:val="auto"/>
          <w:lang w:val="en-US" w:eastAsia="zh-CN"/>
        </w:rPr>
      </w:pPr>
      <w:r>
        <w:rPr>
          <w:rFonts w:hint="eastAsia" w:ascii="仿宋" w:hAnsi="仿宋" w:eastAsia="仿宋"/>
          <w:color w:val="auto"/>
          <w:lang w:val="en-US" w:eastAsia="zh-CN"/>
        </w:rPr>
        <w:t>付款计划</w:t>
      </w:r>
    </w:p>
    <w:p>
      <w:pPr>
        <w:widowControl/>
        <w:spacing w:line="360" w:lineRule="auto"/>
        <w:ind w:left="420"/>
        <w:jc w:val="left"/>
        <w:rPr>
          <w:rFonts w:hint="eastAsia" w:ascii="宋体" w:hAnsi="宋体" w:cs="宋体"/>
          <w:kern w:val="0"/>
          <w:sz w:val="24"/>
          <w:lang w:val="en-US" w:eastAsia="zh-CN"/>
        </w:rPr>
      </w:pPr>
      <w:r>
        <w:rPr>
          <w:rFonts w:hint="eastAsia" w:ascii="宋体" w:hAnsi="宋体" w:cs="宋体"/>
          <w:kern w:val="0"/>
          <w:sz w:val="24"/>
          <w:lang w:val="en-US" w:eastAsia="zh-CN"/>
        </w:rPr>
        <w:t>第一笔：首付款8万元。合同签订后，收到乙方有效发票后，10个工作日内支付。</w:t>
      </w:r>
    </w:p>
    <w:p>
      <w:pPr>
        <w:widowControl/>
        <w:spacing w:line="360" w:lineRule="auto"/>
        <w:ind w:left="420"/>
        <w:jc w:val="left"/>
        <w:rPr>
          <w:rFonts w:hint="default" w:ascii="宋体" w:hAnsi="宋体" w:cs="宋体"/>
          <w:kern w:val="0"/>
          <w:sz w:val="24"/>
          <w:lang w:val="en-US" w:eastAsia="zh-CN"/>
        </w:rPr>
      </w:pPr>
      <w:r>
        <w:rPr>
          <w:rFonts w:hint="eastAsia" w:ascii="宋体" w:hAnsi="宋体" w:cs="宋体"/>
          <w:kern w:val="0"/>
          <w:sz w:val="24"/>
          <w:lang w:val="en-US" w:eastAsia="zh-CN"/>
        </w:rPr>
        <w:t>第二笔：尾款。</w:t>
      </w:r>
      <w:r>
        <w:rPr>
          <w:rFonts w:hint="eastAsia"/>
          <w:sz w:val="24"/>
          <w:lang w:val="en-US" w:eastAsia="zh-CN"/>
        </w:rPr>
        <w:t>医院通过国家医疗健康信息互联互通标准化成熟度测评后，收到乙方有效发票后，10个工作日内支付。</w:t>
      </w:r>
    </w:p>
    <w:p>
      <w:pPr>
        <w:pStyle w:val="12"/>
        <w:numPr>
          <w:ilvl w:val="-1"/>
          <w:numId w:val="0"/>
        </w:numPr>
        <w:tabs>
          <w:tab w:val="left" w:pos="5548"/>
        </w:tabs>
        <w:ind w:left="0" w:firstLine="0"/>
        <w:outlineLvl w:val="2"/>
        <w:rPr>
          <w:rFonts w:hint="eastAsia" w:ascii="仿宋" w:hAnsi="仿宋" w:eastAsia="仿宋"/>
          <w:color w:val="auto"/>
          <w:lang w:val="en-US" w:eastAsia="zh-CN"/>
        </w:rPr>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35376"/>
    <w:multiLevelType w:val="multilevel"/>
    <w:tmpl w:val="298353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615E84"/>
    <w:multiLevelType w:val="multilevel"/>
    <w:tmpl w:val="6D615E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MjU1NWNmYmQ4ZDIyZmEzNzdmY2ExYzU1MWE0YmUifQ=="/>
  </w:docVars>
  <w:rsids>
    <w:rsidRoot w:val="00C0725A"/>
    <w:rsid w:val="00091EFC"/>
    <w:rsid w:val="0011000B"/>
    <w:rsid w:val="00155699"/>
    <w:rsid w:val="002C4C3E"/>
    <w:rsid w:val="00340833"/>
    <w:rsid w:val="00363CB6"/>
    <w:rsid w:val="00495C48"/>
    <w:rsid w:val="004F3931"/>
    <w:rsid w:val="00565A56"/>
    <w:rsid w:val="0065560F"/>
    <w:rsid w:val="006821DC"/>
    <w:rsid w:val="00690C1A"/>
    <w:rsid w:val="00732694"/>
    <w:rsid w:val="0073573F"/>
    <w:rsid w:val="007621E3"/>
    <w:rsid w:val="0078399A"/>
    <w:rsid w:val="00796A32"/>
    <w:rsid w:val="00834BDF"/>
    <w:rsid w:val="008973FE"/>
    <w:rsid w:val="008D3A1B"/>
    <w:rsid w:val="00937FB8"/>
    <w:rsid w:val="0094132F"/>
    <w:rsid w:val="00976D12"/>
    <w:rsid w:val="009B516D"/>
    <w:rsid w:val="009F76C5"/>
    <w:rsid w:val="00A028B9"/>
    <w:rsid w:val="00B24424"/>
    <w:rsid w:val="00C0725A"/>
    <w:rsid w:val="00DC791D"/>
    <w:rsid w:val="00DD1A6F"/>
    <w:rsid w:val="00E3097A"/>
    <w:rsid w:val="00E663F4"/>
    <w:rsid w:val="00F417FF"/>
    <w:rsid w:val="00F91E93"/>
    <w:rsid w:val="00FA7D5F"/>
    <w:rsid w:val="00FC65DE"/>
    <w:rsid w:val="0AFA5DE6"/>
    <w:rsid w:val="19D45C5B"/>
    <w:rsid w:val="27195901"/>
    <w:rsid w:val="36850E58"/>
    <w:rsid w:val="3C3B5866"/>
    <w:rsid w:val="3DE72AC9"/>
    <w:rsid w:val="415F5E50"/>
    <w:rsid w:val="4CE6512B"/>
    <w:rsid w:val="4FEF5B7C"/>
    <w:rsid w:val="531D115E"/>
    <w:rsid w:val="56DD3E1C"/>
    <w:rsid w:val="60CA7553"/>
    <w:rsid w:val="6F37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semiHidden/>
    <w:unhideWhenUsed/>
    <w:qFormat/>
    <w:uiPriority w:val="99"/>
    <w:rPr>
      <w:rFonts w:hAnsi="Courier New" w:cs="Courier New" w:asciiTheme="minorEastAsia" w:eastAsiaTheme="minorEastAsia"/>
    </w:rPr>
  </w:style>
  <w:style w:type="paragraph" w:styleId="4">
    <w:name w:val="annotation text"/>
    <w:basedOn w:val="1"/>
    <w:semiHidden/>
    <w:unhideWhenUsed/>
    <w:qFormat/>
    <w:uiPriority w:val="99"/>
    <w:pPr>
      <w:jc w:val="left"/>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2 字符"/>
    <w:basedOn w:val="8"/>
    <w:link w:val="3"/>
    <w:qFormat/>
    <w:uiPriority w:val="9"/>
    <w:rPr>
      <w:rFonts w:asciiTheme="majorHAnsi" w:hAnsiTheme="majorHAnsi" w:eastAsiaTheme="majorEastAsia" w:cstheme="majorBidi"/>
      <w:b/>
      <w:bCs/>
      <w:sz w:val="32"/>
      <w:szCs w:val="32"/>
    </w:rPr>
  </w:style>
  <w:style w:type="paragraph" w:customStyle="1" w:styleId="12">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paragraph" w:styleId="13">
    <w:name w:val="List Paragraph"/>
    <w:basedOn w:val="1"/>
    <w:qFormat/>
    <w:uiPriority w:val="99"/>
    <w:pPr>
      <w:ind w:firstLine="420" w:firstLineChars="200"/>
    </w:pPr>
  </w:style>
  <w:style w:type="paragraph" w:customStyle="1" w:styleId="14">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15">
    <w:name w:val="表内样式"/>
    <w:basedOn w:val="1"/>
    <w:qFormat/>
    <w:uiPriority w:val="0"/>
    <w:pPr>
      <w:widowControl/>
      <w:spacing w:line="276" w:lineRule="auto"/>
      <w:jc w:val="left"/>
    </w:pPr>
    <w:rPr>
      <w:color w:val="000000"/>
      <w:kern w:val="0"/>
      <w:sz w:val="24"/>
      <w:lang w:val="zh-CN"/>
    </w:rPr>
  </w:style>
  <w:style w:type="character" w:customStyle="1" w:styleId="16">
    <w:name w:val="纯文本 字符"/>
    <w:basedOn w:val="8"/>
    <w:link w:val="2"/>
    <w:semiHidden/>
    <w:qFormat/>
    <w:uiPriority w:val="99"/>
    <w:rPr>
      <w:rFonts w:hAnsi="Courier New" w:cs="Courier New" w:asciiTheme="minorEastAsia"/>
      <w:szCs w:val="24"/>
    </w:rPr>
  </w:style>
  <w:style w:type="paragraph" w:customStyle="1" w:styleId="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1302</Characters>
  <Lines>10</Lines>
  <Paragraphs>3</Paragraphs>
  <TotalTime>36</TotalTime>
  <ScaleCrop>false</ScaleCrop>
  <LinksUpToDate>false</LinksUpToDate>
  <CharactersWithSpaces>1527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2023-03-11T07:44:00Z</dcterms:created>
  <dc:creator>王 阳阳</dc:creator>
  <cp:lastModifiedBy>杨伟奇</cp:lastModifiedBy>
  <dcterms:modified xsi:type="dcterms:W3CDTF">2023-10-16T02:45:45Z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C0EDAA3A8F5A404981C6080B9F0F6271_13</vt:lpwstr>
  </property>
</Properties>
</file>