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 Unicode MS" w:hAnsi="Arial Unicode MS" w:eastAsia="仿宋"/>
          <w:sz w:val="44"/>
          <w:szCs w:val="44"/>
          <w:lang w:val="en-US" w:eastAsia="zh-CN"/>
        </w:rPr>
      </w:pPr>
      <w:bookmarkStart w:id="0" w:name="_Toc63237276"/>
      <w:bookmarkStart w:id="1" w:name="_Toc63237056"/>
      <w:bookmarkStart w:id="2" w:name="_Toc29206674"/>
      <w:bookmarkStart w:id="3" w:name="_Toc3717820"/>
      <w:r>
        <w:rPr>
          <w:rFonts w:hint="eastAsia" w:ascii="Arial Unicode MS" w:hAnsi="Arial Unicode MS" w:eastAsia="仿宋"/>
          <w:sz w:val="44"/>
          <w:szCs w:val="44"/>
        </w:rPr>
        <w:t>上海市养志康复医院（上海市阳光康复中心）等保服务</w:t>
      </w:r>
      <w:r>
        <w:rPr>
          <w:rFonts w:hint="eastAsia" w:ascii="Arial Unicode MS" w:hAnsi="Arial Unicode MS" w:eastAsia="仿宋"/>
          <w:sz w:val="44"/>
          <w:szCs w:val="44"/>
          <w:lang w:val="en-US" w:eastAsia="zh-CN"/>
        </w:rPr>
        <w:t>采购项目招标需求</w:t>
      </w:r>
    </w:p>
    <w:p>
      <w:pPr>
        <w:jc w:val="center"/>
        <w:rPr>
          <w:rFonts w:hint="eastAsia" w:ascii="Arial Unicode MS" w:hAnsi="Arial Unicode MS" w:eastAsia="仿宋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jc w:val="center"/>
        <w:rPr>
          <w:rFonts w:ascii="Arial Unicode MS" w:hAnsi="Arial Unicode MS" w:eastAsia="仿宋"/>
          <w:sz w:val="44"/>
          <w:szCs w:val="44"/>
        </w:rPr>
      </w:pPr>
      <w:r>
        <w:rPr>
          <w:rFonts w:hint="eastAsia" w:ascii="Arial Unicode MS" w:hAnsi="Arial Unicode MS" w:eastAsia="仿宋"/>
          <w:sz w:val="44"/>
          <w:szCs w:val="44"/>
        </w:rPr>
        <w:t>第</w:t>
      </w:r>
      <w:r>
        <w:rPr>
          <w:rFonts w:hint="eastAsia" w:ascii="Arial Unicode MS" w:hAnsi="Arial Unicode MS" w:eastAsia="仿宋"/>
          <w:sz w:val="44"/>
          <w:szCs w:val="44"/>
          <w:lang w:val="en-US" w:eastAsia="zh-CN"/>
        </w:rPr>
        <w:t>一</w:t>
      </w:r>
      <w:r>
        <w:rPr>
          <w:rFonts w:hint="eastAsia" w:ascii="Arial Unicode MS" w:hAnsi="Arial Unicode MS" w:eastAsia="仿宋"/>
          <w:sz w:val="44"/>
          <w:szCs w:val="44"/>
        </w:rPr>
        <w:t>章</w:t>
      </w:r>
      <w:r>
        <w:rPr>
          <w:rFonts w:ascii="Arial Unicode MS" w:hAnsi="Arial Unicode MS" w:eastAsia="仿宋"/>
          <w:sz w:val="44"/>
          <w:szCs w:val="44"/>
        </w:rPr>
        <w:t xml:space="preserve">  </w:t>
      </w:r>
      <w:r>
        <w:rPr>
          <w:rFonts w:hint="eastAsia" w:ascii="Arial Unicode MS" w:hAnsi="Arial Unicode MS" w:eastAsia="仿宋"/>
          <w:sz w:val="44"/>
          <w:szCs w:val="44"/>
        </w:rPr>
        <w:t>需求一览表</w:t>
      </w:r>
      <w:bookmarkEnd w:id="0"/>
      <w:bookmarkEnd w:id="1"/>
      <w:bookmarkEnd w:id="2"/>
      <w:bookmarkEnd w:id="3"/>
    </w:p>
    <w:p>
      <w:pPr>
        <w:pStyle w:val="10"/>
        <w:jc w:val="center"/>
        <w:rPr>
          <w:rFonts w:ascii="Arial Unicode MS" w:hAnsi="Arial Unicode MS" w:eastAsia="仿宋"/>
        </w:rPr>
      </w:pPr>
      <w:bookmarkStart w:id="4" w:name="_Toc472357735"/>
      <w:bookmarkStart w:id="5" w:name="_Toc225584558"/>
      <w:bookmarkStart w:id="6" w:name="_Toc63237277"/>
      <w:bookmarkStart w:id="7" w:name="_Toc225581432"/>
      <w:bookmarkStart w:id="8" w:name="_Toc225580882"/>
      <w:bookmarkStart w:id="9" w:name="_Toc398728102"/>
      <w:bookmarkStart w:id="10" w:name="_Toc413596271"/>
      <w:bookmarkStart w:id="11" w:name="_Toc3718507"/>
      <w:bookmarkStart w:id="12" w:name="_Toc527276069"/>
      <w:bookmarkStart w:id="13" w:name="_Toc398717770"/>
      <w:bookmarkStart w:id="14" w:name="_Toc225578612"/>
      <w:bookmarkStart w:id="15" w:name="_Toc413589080"/>
      <w:bookmarkStart w:id="16" w:name="_Toc365495299"/>
      <w:bookmarkStart w:id="17" w:name="_Toc507404325"/>
      <w:bookmarkStart w:id="18" w:name="_Toc314829837"/>
      <w:bookmarkStart w:id="19" w:name="_Toc314829687"/>
      <w:bookmarkStart w:id="20" w:name="_Toc225578715"/>
      <w:bookmarkStart w:id="21" w:name="_Toc314838625"/>
      <w:bookmarkStart w:id="22" w:name="_Toc317024482"/>
      <w:bookmarkStart w:id="23" w:name="_Toc317260090"/>
      <w:bookmarkStart w:id="24" w:name="_Toc366049235"/>
      <w:bookmarkStart w:id="25" w:name="_Toc63237057"/>
      <w:bookmarkStart w:id="26" w:name="_Toc365480825"/>
      <w:bookmarkStart w:id="27" w:name="_Toc365481091"/>
      <w:bookmarkStart w:id="28" w:name="_Toc365455816"/>
      <w:bookmarkStart w:id="29" w:name="_Toc314829751"/>
      <w:bookmarkStart w:id="30" w:name="_Toc398717641"/>
      <w:bookmarkStart w:id="31" w:name="_Toc533581344"/>
      <w:bookmarkStart w:id="32" w:name="_Toc3718095"/>
      <w:bookmarkStart w:id="33" w:name="_Toc3718232"/>
      <w:bookmarkStart w:id="34" w:name="_Toc3717911"/>
      <w:bookmarkStart w:id="35" w:name="_Toc367050049"/>
      <w:bookmarkStart w:id="36" w:name="_Toc398629944"/>
      <w:r>
        <w:rPr>
          <w:rFonts w:hint="eastAsia" w:ascii="Arial Unicode MS" w:hAnsi="Arial Unicode MS" w:eastAsia="仿宋"/>
        </w:rPr>
        <w:t>需求一览表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tbl>
      <w:tblPr>
        <w:tblStyle w:val="7"/>
        <w:tblW w:w="488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ub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6"/>
        <w:gridCol w:w="1692"/>
        <w:gridCol w:w="6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3"/>
              <w:rPr>
                <w:rFonts w:ascii="Arial Unicode MS" w:hAnsi="Arial Unicode MS" w:eastAsia="仿宋"/>
                <w:szCs w:val="21"/>
              </w:rPr>
            </w:pPr>
            <w:r>
              <w:rPr>
                <w:rFonts w:ascii="Arial Unicode MS" w:hAnsi="Arial Unicode MS" w:eastAsia="仿宋"/>
                <w:szCs w:val="21"/>
              </w:rPr>
              <w:t>序号</w:t>
            </w:r>
          </w:p>
        </w:tc>
        <w:tc>
          <w:tcPr>
            <w:tcW w:w="1036" w:type="pct"/>
            <w:noWrap w:val="0"/>
            <w:vAlign w:val="top"/>
          </w:tcPr>
          <w:p>
            <w:pPr>
              <w:pStyle w:val="3"/>
              <w:rPr>
                <w:rFonts w:ascii="Arial Unicode MS" w:hAnsi="Arial Unicode MS" w:eastAsia="仿宋"/>
                <w:szCs w:val="21"/>
              </w:rPr>
            </w:pPr>
            <w:r>
              <w:rPr>
                <w:rFonts w:hint="eastAsia" w:ascii="Arial Unicode MS" w:hAnsi="Arial Unicode MS" w:eastAsia="仿宋"/>
                <w:szCs w:val="21"/>
              </w:rPr>
              <w:t>服务</w:t>
            </w:r>
            <w:r>
              <w:rPr>
                <w:rFonts w:ascii="Arial Unicode MS" w:hAnsi="Arial Unicode MS" w:eastAsia="仿宋"/>
                <w:szCs w:val="21"/>
              </w:rPr>
              <w:t>名称</w:t>
            </w:r>
          </w:p>
        </w:tc>
        <w:tc>
          <w:tcPr>
            <w:tcW w:w="3697" w:type="pct"/>
            <w:noWrap w:val="0"/>
            <w:vAlign w:val="top"/>
          </w:tcPr>
          <w:p>
            <w:pPr>
              <w:pStyle w:val="3"/>
              <w:rPr>
                <w:rFonts w:ascii="Arial Unicode MS" w:hAnsi="Arial Unicode MS" w:eastAsia="仿宋"/>
                <w:szCs w:val="21"/>
              </w:rPr>
            </w:pPr>
            <w:r>
              <w:rPr>
                <w:rFonts w:ascii="Arial Unicode MS" w:hAnsi="Arial Unicode MS" w:eastAsia="仿宋"/>
                <w:szCs w:val="21"/>
              </w:rPr>
              <w:t>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3"/>
              <w:rPr>
                <w:rFonts w:ascii="Arial Unicode MS" w:hAnsi="Arial Unicode MS" w:eastAsia="仿宋"/>
                <w:szCs w:val="21"/>
              </w:rPr>
            </w:pPr>
            <w:r>
              <w:rPr>
                <w:rFonts w:ascii="Arial Unicode MS" w:hAnsi="Arial Unicode MS" w:eastAsia="仿宋"/>
                <w:szCs w:val="21"/>
              </w:rPr>
              <w:t>1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pStyle w:val="3"/>
              <w:jc w:val="left"/>
              <w:rPr>
                <w:rFonts w:ascii="Arial Unicode MS" w:hAnsi="Arial Unicode MS" w:eastAsia="仿宋"/>
                <w:szCs w:val="21"/>
              </w:rPr>
            </w:pPr>
            <w:r>
              <w:rPr>
                <w:rFonts w:hint="eastAsia" w:ascii="Arial Unicode MS" w:hAnsi="Arial Unicode MS" w:eastAsia="仿宋"/>
              </w:rPr>
              <w:t>上海市养志康复医院（上海市阳光康复中心）等保服务</w:t>
            </w:r>
          </w:p>
        </w:tc>
        <w:tc>
          <w:tcPr>
            <w:tcW w:w="3697" w:type="pct"/>
            <w:noWrap w:val="0"/>
            <w:vAlign w:val="center"/>
          </w:tcPr>
          <w:p>
            <w:pPr>
              <w:pStyle w:val="3"/>
              <w:jc w:val="left"/>
              <w:rPr>
                <w:rFonts w:hint="eastAsia" w:ascii="Arial Unicode MS" w:hAnsi="Arial Unicode MS" w:eastAsia="仿宋"/>
                <w:szCs w:val="21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本项目拟向第三方专业机构采购网络安全等级保护咨询及测评服务，用于上海市养志康复医院（上海市阳光康复中心）核心业务系统（HIS、LIS、RIS、PACS）和</w:t>
            </w:r>
            <w:bookmarkStart w:id="63" w:name="_GoBack"/>
            <w:r>
              <w:rPr>
                <w:rFonts w:hint="eastAsia" w:ascii="华文仿宋" w:hAnsi="华文仿宋" w:eastAsia="华文仿宋"/>
                <w:sz w:val="24"/>
                <w:szCs w:val="24"/>
              </w:rPr>
              <w:t>上海市养志康复医院</w:t>
            </w:r>
            <w:bookmarkEnd w:id="63"/>
            <w:r>
              <w:rPr>
                <w:rFonts w:hint="eastAsia" w:ascii="华文仿宋" w:hAnsi="华文仿宋" w:eastAsia="华文仿宋"/>
                <w:sz w:val="24"/>
                <w:szCs w:val="24"/>
              </w:rPr>
              <w:t>官网等保2.0的安全合规建设。</w:t>
            </w:r>
          </w:p>
        </w:tc>
      </w:tr>
    </w:tbl>
    <w:p>
      <w:pPr>
        <w:rPr>
          <w:rFonts w:ascii="Arial Unicode MS" w:hAnsi="Arial Unicode MS" w:eastAsia="仿宋"/>
        </w:rPr>
      </w:pPr>
    </w:p>
    <w:p>
      <w:pPr>
        <w:rPr>
          <w:rFonts w:hint="eastAsia" w:ascii="Arial Unicode MS" w:hAnsi="Arial Unicode MS" w:eastAsia="仿宋"/>
          <w:sz w:val="44"/>
          <w:szCs w:val="44"/>
        </w:rPr>
      </w:pPr>
      <w:bookmarkStart w:id="37" w:name="_Toc3717821"/>
      <w:bookmarkStart w:id="38" w:name="_Toc63237058"/>
      <w:bookmarkStart w:id="39" w:name="_Toc63237278"/>
      <w:bookmarkStart w:id="40" w:name="_Toc29206675"/>
      <w:r>
        <w:rPr>
          <w:rFonts w:hint="eastAsia" w:ascii="Arial Unicode MS" w:hAnsi="Arial Unicode MS" w:eastAsia="仿宋"/>
          <w:sz w:val="44"/>
          <w:szCs w:val="44"/>
        </w:rPr>
        <w:br w:type="page"/>
      </w:r>
    </w:p>
    <w:p>
      <w:pPr>
        <w:pStyle w:val="2"/>
        <w:keepNext w:val="0"/>
        <w:keepLines w:val="0"/>
        <w:jc w:val="center"/>
        <w:rPr>
          <w:rFonts w:ascii="Arial Unicode MS" w:hAnsi="Arial Unicode MS" w:eastAsia="仿宋"/>
          <w:sz w:val="44"/>
          <w:szCs w:val="44"/>
        </w:rPr>
      </w:pPr>
      <w:r>
        <w:rPr>
          <w:rFonts w:hint="eastAsia" w:ascii="Arial Unicode MS" w:hAnsi="Arial Unicode MS" w:eastAsia="仿宋"/>
          <w:sz w:val="44"/>
          <w:szCs w:val="44"/>
        </w:rPr>
        <w:t>第</w:t>
      </w:r>
      <w:r>
        <w:rPr>
          <w:rFonts w:hint="eastAsia" w:ascii="Arial Unicode MS" w:hAnsi="Arial Unicode MS" w:eastAsia="仿宋"/>
          <w:sz w:val="44"/>
          <w:szCs w:val="44"/>
          <w:lang w:val="en-US" w:eastAsia="zh-CN"/>
        </w:rPr>
        <w:t>二</w:t>
      </w:r>
      <w:r>
        <w:rPr>
          <w:rFonts w:hint="eastAsia" w:ascii="Arial Unicode MS" w:hAnsi="Arial Unicode MS" w:eastAsia="仿宋"/>
          <w:sz w:val="44"/>
          <w:szCs w:val="44"/>
        </w:rPr>
        <w:t>章</w:t>
      </w:r>
      <w:r>
        <w:rPr>
          <w:rFonts w:ascii="Arial Unicode MS" w:hAnsi="Arial Unicode MS" w:eastAsia="仿宋"/>
          <w:sz w:val="44"/>
          <w:szCs w:val="44"/>
        </w:rPr>
        <w:t xml:space="preserve">  </w:t>
      </w:r>
      <w:r>
        <w:rPr>
          <w:rFonts w:hint="eastAsia" w:ascii="Arial Unicode MS" w:hAnsi="Arial Unicode MS" w:eastAsia="仿宋"/>
          <w:sz w:val="44"/>
          <w:szCs w:val="44"/>
        </w:rPr>
        <w:t>技术</w:t>
      </w:r>
      <w:bookmarkEnd w:id="37"/>
      <w:r>
        <w:rPr>
          <w:rFonts w:hint="eastAsia" w:ascii="Arial Unicode MS" w:hAnsi="Arial Unicode MS" w:eastAsia="仿宋"/>
          <w:sz w:val="44"/>
          <w:szCs w:val="44"/>
        </w:rPr>
        <w:t>需求</w:t>
      </w:r>
      <w:bookmarkEnd w:id="38"/>
      <w:bookmarkEnd w:id="39"/>
      <w:bookmarkEnd w:id="40"/>
    </w:p>
    <w:p>
      <w:pPr>
        <w:pStyle w:val="10"/>
        <w:rPr>
          <w:rFonts w:hint="eastAsia" w:ascii="Arial Unicode MS" w:hAnsi="Arial Unicode MS" w:eastAsia="仿宋"/>
        </w:rPr>
      </w:pPr>
      <w:bookmarkStart w:id="41" w:name="_Toc63237279"/>
      <w:bookmarkStart w:id="42" w:name="_Toc63237059"/>
      <w:r>
        <w:rPr>
          <w:rFonts w:hint="eastAsia" w:ascii="Arial Unicode MS" w:hAnsi="Arial Unicode MS" w:eastAsia="仿宋"/>
        </w:rPr>
        <w:t>技术需求</w:t>
      </w:r>
      <w:bookmarkEnd w:id="41"/>
      <w:bookmarkEnd w:id="42"/>
    </w:p>
    <w:p>
      <w:pPr>
        <w:pStyle w:val="2"/>
        <w:keepNext w:val="0"/>
        <w:keepLines w:val="0"/>
        <w:numPr>
          <w:ilvl w:val="0"/>
          <w:numId w:val="2"/>
        </w:numPr>
        <w:rPr>
          <w:rFonts w:hint="eastAsia" w:ascii="Arial Unicode MS" w:hAnsi="Arial Unicode MS" w:eastAsia="仿宋"/>
          <w:b/>
        </w:rPr>
      </w:pPr>
      <w:bookmarkStart w:id="43" w:name="_Toc28032"/>
      <w:r>
        <w:rPr>
          <w:rFonts w:hint="eastAsia" w:ascii="Arial Unicode MS" w:hAnsi="Arial Unicode MS" w:eastAsia="仿宋"/>
          <w:b/>
        </w:rPr>
        <w:t>项目简介</w:t>
      </w:r>
      <w:bookmarkEnd w:id="43"/>
    </w:p>
    <w:p>
      <w:pPr>
        <w:widowControl/>
        <w:spacing w:before="240" w:line="276" w:lineRule="auto"/>
        <w:ind w:firstLine="480" w:firstLineChars="200"/>
        <w:jc w:val="lef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上海市养志康复医院（上海市阳光康复中心）是上海市残疾人联合会直属事业单位、同济大学附属养志康复医院。医院于2007年由时任上海市委书记习近平揭牌落成，目前已成为全国省（市）级三级残疾人康复中心、全国区域性工伤康复示范机构、全国脊髓损伤者“希望之家”资源中心、国家级康复护理专科护士培训基地和康复专业继续教育培训基地等。医院占地面积396亩，拥有花园般的自然环境和团结奋进的人文氛围。目前本院开放床位360张，以全面康复为特色，建立了以康复医学科为主体，由内、外、妇、儿等共同支撑的康复服务和临床保障体系；按照不同病种及专业发展要求，设置了神经康复、脊柱脊髓损伤康复、骨与关节康复、心肺康复、烧伤康复等亚专科；配有国际先进康复设施设备，建有康复医学转化研究中心和多个实验平台；承担了同济大学医学院康复治疗学系教学任务，也是30多所境内外知名高校的临床教学与实习基地。医院扩建项目作为上海市重大建设项目已进入施工阶段，将于2023年10月竣工，扩建后床位将增至1000张。</w:t>
      </w:r>
    </w:p>
    <w:p>
      <w:pPr>
        <w:widowControl/>
        <w:spacing w:before="240" w:line="276" w:lineRule="auto"/>
        <w:ind w:firstLine="480" w:firstLineChars="200"/>
        <w:jc w:val="left"/>
        <w:rPr>
          <w:rFonts w:ascii="宋体" w:hAnsi="宋体"/>
          <w:color w:val="000000"/>
          <w:szCs w:val="24"/>
        </w:rPr>
      </w:pPr>
      <w:r>
        <w:rPr>
          <w:rFonts w:hint="eastAsia" w:ascii="宋体" w:hAnsi="宋体"/>
          <w:szCs w:val="24"/>
        </w:rPr>
        <w:t>上海市养志康复医院（上海市阳光康复中心）</w:t>
      </w:r>
      <w:r>
        <w:rPr>
          <w:rFonts w:hint="eastAsia" w:ascii="宋体" w:hAnsi="宋体"/>
          <w:color w:val="000000"/>
          <w:szCs w:val="24"/>
        </w:rPr>
        <w:t>为了保证医院核心信息系统</w:t>
      </w:r>
      <w:r>
        <w:rPr>
          <w:rFonts w:hint="eastAsia" w:ascii="宋体" w:hAnsi="宋体"/>
          <w:color w:val="000000"/>
          <w:szCs w:val="24"/>
          <w:lang w:eastAsia="zh-CN"/>
        </w:rPr>
        <w:t>、</w:t>
      </w:r>
      <w:r>
        <w:rPr>
          <w:rFonts w:hint="eastAsia" w:ascii="宋体" w:hAnsi="宋体"/>
          <w:color w:val="000000"/>
          <w:szCs w:val="24"/>
          <w:lang w:val="en-US" w:eastAsia="zh-CN"/>
        </w:rPr>
        <w:t>官网</w:t>
      </w:r>
      <w:r>
        <w:rPr>
          <w:rFonts w:hint="eastAsia" w:ascii="宋体" w:hAnsi="宋体"/>
          <w:color w:val="000000"/>
          <w:szCs w:val="24"/>
        </w:rPr>
        <w:t>安全运行的要求，避免系统入侵，造成业务中断、信息泄露等严重问题，参照相关规定，应对核心系统建设达到三级等保要求并获得备案证书。基于以上情况设立本次项目。</w:t>
      </w:r>
    </w:p>
    <w:p>
      <w:pPr>
        <w:widowControl/>
        <w:spacing w:before="240" w:line="276" w:lineRule="auto"/>
        <w:ind w:firstLine="420"/>
        <w:jc w:val="lef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本项目拟向第三方专业机构采购网络安全等级保护咨询及测评服务，用于上海市养志康复医院（上海市阳光康复中心）核心业务系统（HIS、LIS、RIS、PACS）和上海市养志康复医院官网</w:t>
      </w:r>
      <w:r>
        <w:rPr>
          <w:rFonts w:hint="eastAsia" w:ascii="宋体" w:hAnsi="宋体"/>
          <w:szCs w:val="24"/>
          <w:lang w:val="en-US" w:eastAsia="zh-CN"/>
        </w:rPr>
        <w:t>两</w:t>
      </w:r>
      <w:r>
        <w:rPr>
          <w:rFonts w:hint="eastAsia" w:ascii="宋体" w:hAnsi="宋体"/>
          <w:szCs w:val="24"/>
        </w:rPr>
        <w:t>个信息系统等保2.0的安全合规建设。</w:t>
      </w:r>
    </w:p>
    <w:p>
      <w:pPr>
        <w:pStyle w:val="2"/>
        <w:keepNext w:val="0"/>
        <w:keepLines w:val="0"/>
        <w:numPr>
          <w:ilvl w:val="0"/>
          <w:numId w:val="2"/>
        </w:numPr>
        <w:rPr>
          <w:rFonts w:hint="eastAsia" w:ascii="Arial Unicode MS" w:hAnsi="Arial Unicode MS" w:eastAsia="仿宋"/>
          <w:b/>
        </w:rPr>
      </w:pPr>
      <w:bookmarkStart w:id="44" w:name="_Toc15709"/>
      <w:r>
        <w:rPr>
          <w:rFonts w:hint="eastAsia" w:ascii="Arial Unicode MS" w:hAnsi="Arial Unicode MS" w:eastAsia="仿宋"/>
          <w:b/>
        </w:rPr>
        <w:t>项目内容</w:t>
      </w:r>
      <w:bookmarkEnd w:id="44"/>
    </w:p>
    <w:p>
      <w:pPr>
        <w:pStyle w:val="2"/>
        <w:keepNext w:val="0"/>
        <w:keepLines w:val="0"/>
        <w:numPr>
          <w:ilvl w:val="1"/>
          <w:numId w:val="2"/>
        </w:numPr>
        <w:rPr>
          <w:rFonts w:hint="eastAsia" w:ascii="Arial Unicode MS" w:hAnsi="Arial Unicode MS" w:eastAsia="仿宋"/>
          <w:b/>
        </w:rPr>
      </w:pPr>
      <w:bookmarkStart w:id="45" w:name="_Toc4299"/>
      <w:r>
        <w:rPr>
          <w:rFonts w:hint="eastAsia" w:ascii="Arial Unicode MS" w:hAnsi="Arial Unicode MS" w:eastAsia="仿宋"/>
          <w:b/>
        </w:rPr>
        <w:t>等级保护咨询服务</w:t>
      </w:r>
      <w:bookmarkEnd w:id="45"/>
    </w:p>
    <w:tbl>
      <w:tblPr>
        <w:tblStyle w:val="7"/>
        <w:tblW w:w="89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1548"/>
        <w:gridCol w:w="5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ind w:firstLine="170" w:firstLineChars="71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系统名称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ind w:firstLine="170" w:firstLineChars="71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定级目标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ind w:firstLine="170" w:firstLineChars="71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咨询内容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2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76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核心业务系统（HIS、LIS、RIS、PACS）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ind w:firstLine="200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三级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投标人须提供针对</w:t>
            </w:r>
            <w:r>
              <w:rPr>
                <w:rFonts w:hint="eastAsia" w:ascii="宋体" w:hAnsi="宋体"/>
                <w:szCs w:val="24"/>
              </w:rPr>
              <w:t>上海市养志康复医院（上海市阳光康复中心）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核心业务系统（HIS、LIS、RIS、PACS）</w:t>
            </w:r>
            <w:r>
              <w:rPr>
                <w:rFonts w:hint="eastAsia" w:ascii="宋体" w:hAnsi="宋体" w:cs="宋体"/>
                <w:szCs w:val="24"/>
                <w:lang w:bidi="ar"/>
              </w:rPr>
              <w:t>定级备案、系统调研梳理咨询服务、系统风险评估服务、系统预测评、管理体系制度文档建设咨询服务等。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2" w:hRule="atLeast"/>
          <w:jc w:val="center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jc w:val="left"/>
              <w:rPr>
                <w:rFonts w:hint="eastAsia" w:ascii="宋体" w:hAnsi="宋体" w:cs="宋体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上海市养志康复医院官网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ind w:firstLine="200"/>
              <w:jc w:val="center"/>
              <w:rPr>
                <w:rFonts w:hint="eastAsia" w:ascii="宋体" w:hAnsi="宋体" w:cs="宋体"/>
                <w:szCs w:val="24"/>
                <w:lang w:bidi="ar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三级</w:t>
            </w:r>
          </w:p>
        </w:tc>
        <w:tc>
          <w:tcPr>
            <w:tcW w:w="5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jc w:val="left"/>
              <w:rPr>
                <w:rFonts w:hint="eastAsia" w:ascii="宋体" w:hAnsi="宋体" w:cs="宋体"/>
                <w:szCs w:val="24"/>
                <w:lang w:bidi="ar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投标人须提供针对</w:t>
            </w:r>
            <w:r>
              <w:rPr>
                <w:rFonts w:hint="eastAsia" w:ascii="宋体" w:hAnsi="宋体"/>
                <w:szCs w:val="24"/>
              </w:rPr>
              <w:t>上海市养志康复医院（上海市阳光康复中心）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上海市养志康复医院官网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系统</w:t>
            </w:r>
            <w:r>
              <w:rPr>
                <w:rFonts w:hint="eastAsia" w:ascii="宋体" w:hAnsi="宋体" w:cs="宋体"/>
                <w:szCs w:val="24"/>
                <w:lang w:bidi="ar"/>
              </w:rPr>
              <w:t>提供系统定级备案、系统调研梳理咨询服务、系统风险评估服务、系统预测评、管理体系制度文档建设咨询服务等。</w:t>
            </w:r>
          </w:p>
        </w:tc>
      </w:tr>
    </w:tbl>
    <w:p>
      <w:pPr>
        <w:pStyle w:val="2"/>
        <w:keepNext w:val="0"/>
        <w:keepLines w:val="0"/>
        <w:numPr>
          <w:ilvl w:val="1"/>
          <w:numId w:val="2"/>
        </w:numPr>
        <w:rPr>
          <w:rFonts w:ascii="Arial Unicode MS" w:hAnsi="Arial Unicode MS" w:eastAsia="仿宋"/>
          <w:b/>
        </w:rPr>
      </w:pPr>
      <w:bookmarkStart w:id="46" w:name="_Toc2532"/>
      <w:r>
        <w:rPr>
          <w:rFonts w:hint="eastAsia" w:ascii="Arial Unicode MS" w:hAnsi="Arial Unicode MS" w:eastAsia="仿宋"/>
          <w:b/>
        </w:rPr>
        <w:t>等级保护测评服务</w:t>
      </w:r>
      <w:bookmarkEnd w:id="46"/>
    </w:p>
    <w:tbl>
      <w:tblPr>
        <w:tblStyle w:val="7"/>
        <w:tblW w:w="91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1560"/>
        <w:gridCol w:w="5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ind w:firstLine="170" w:firstLineChars="71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系统名称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ind w:firstLine="170" w:firstLineChars="71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定级目标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ind w:firstLine="480" w:firstLineChars="200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测评内容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0" w:hRule="atLeast"/>
          <w:jc w:val="center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napToGrid w:val="0"/>
              <w:spacing w:before="0" w:beforeAutospacing="0" w:after="0" w:afterAutospacing="0" w:line="276" w:lineRule="auto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核心业务系统（HIS、LIS、RIS、PACS）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ind w:firstLine="200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三级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投标人须聘请测评机构对系统的开展等级保护测评工作（等保2.0标准），依据《网络安全等级保护基本要求》（GB/T 22239—2019）中第三级系统的要求，对被测信息系统从安全物理环境、安全通信网络、安全区域边界、安全计算环境、安全管理中心、安全管理制度、安全管理机构、安全人员管理、安全建设管理、安全运维管理十大层面开展测评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0" w:hRule="atLeast"/>
          <w:jc w:val="center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jc w:val="left"/>
              <w:rPr>
                <w:rFonts w:hint="eastAsia" w:ascii="宋体" w:hAnsi="宋体" w:cs="宋体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上海市养志康复医院官网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ind w:firstLine="200"/>
              <w:jc w:val="center"/>
              <w:rPr>
                <w:rFonts w:hint="eastAsia" w:ascii="宋体" w:hAnsi="宋体" w:cs="宋体"/>
                <w:szCs w:val="24"/>
                <w:lang w:bidi="ar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三级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after="120" w:line="276" w:lineRule="auto"/>
              <w:jc w:val="left"/>
              <w:rPr>
                <w:rFonts w:hint="eastAsia" w:ascii="宋体" w:hAnsi="宋体" w:cs="宋体"/>
                <w:szCs w:val="24"/>
                <w:lang w:bidi="ar"/>
              </w:rPr>
            </w:pPr>
            <w:r>
              <w:rPr>
                <w:rFonts w:hint="eastAsia" w:ascii="宋体" w:hAnsi="宋体" w:cs="宋体"/>
                <w:szCs w:val="24"/>
                <w:lang w:bidi="ar"/>
              </w:rPr>
              <w:t>投标人须聘请测评机构对系统的开展等级保护测评工作（等保2.0标准），依据《网络安全等级保护基本要求》（GB/T 22239—2019）中第三级系统的要求，对被测信息系统从安全物理环境、安全通信网络、安全区域边界、安全计算环境、安全管理中心、安全管理制度、安全管理机构、安全人员管理、安全建设管理、安全运维管理十大层面开展测评工作。</w:t>
            </w:r>
          </w:p>
        </w:tc>
      </w:tr>
    </w:tbl>
    <w:p>
      <w:pPr>
        <w:spacing w:line="276" w:lineRule="auto"/>
        <w:rPr>
          <w:rFonts w:ascii="宋体" w:hAnsi="宋体"/>
          <w:szCs w:val="24"/>
        </w:rPr>
      </w:pPr>
    </w:p>
    <w:p>
      <w:pPr>
        <w:pStyle w:val="2"/>
        <w:keepNext w:val="0"/>
        <w:keepLines w:val="0"/>
        <w:numPr>
          <w:ilvl w:val="0"/>
          <w:numId w:val="2"/>
        </w:numPr>
        <w:rPr>
          <w:rFonts w:ascii="Arial Unicode MS" w:hAnsi="Arial Unicode MS" w:eastAsia="仿宋"/>
          <w:b/>
        </w:rPr>
      </w:pPr>
      <w:bookmarkStart w:id="47" w:name="_Toc3530"/>
      <w:r>
        <w:rPr>
          <w:rFonts w:hint="eastAsia" w:ascii="Arial Unicode MS" w:hAnsi="Arial Unicode MS" w:eastAsia="仿宋"/>
          <w:b/>
        </w:rPr>
        <w:t>具体要求</w:t>
      </w:r>
      <w:bookmarkEnd w:id="47"/>
    </w:p>
    <w:p>
      <w:pPr>
        <w:pStyle w:val="2"/>
        <w:keepNext w:val="0"/>
        <w:keepLines w:val="0"/>
        <w:numPr>
          <w:ilvl w:val="1"/>
          <w:numId w:val="2"/>
        </w:numPr>
        <w:rPr>
          <w:rFonts w:hint="eastAsia" w:ascii="Arial Unicode MS" w:hAnsi="Arial Unicode MS" w:eastAsia="仿宋"/>
          <w:b/>
        </w:rPr>
      </w:pPr>
      <w:bookmarkStart w:id="48" w:name="_Toc1769"/>
      <w:r>
        <w:rPr>
          <w:rFonts w:hint="eastAsia" w:ascii="Arial Unicode MS" w:hAnsi="Arial Unicode MS" w:eastAsia="仿宋"/>
          <w:b/>
        </w:rPr>
        <w:t>等级保护咨询</w:t>
      </w:r>
      <w:bookmarkEnd w:id="48"/>
    </w:p>
    <w:p>
      <w:pPr>
        <w:pStyle w:val="2"/>
        <w:keepNext w:val="0"/>
        <w:keepLines w:val="0"/>
        <w:numPr>
          <w:ilvl w:val="2"/>
          <w:numId w:val="2"/>
        </w:numPr>
        <w:rPr>
          <w:rFonts w:hint="eastAsia" w:ascii="Arial Unicode MS" w:hAnsi="Arial Unicode MS" w:eastAsia="仿宋"/>
          <w:b/>
        </w:rPr>
      </w:pPr>
      <w:bookmarkStart w:id="49" w:name="_Toc7064"/>
      <w:r>
        <w:rPr>
          <w:rFonts w:hint="eastAsia" w:ascii="Arial Unicode MS" w:hAnsi="Arial Unicode MS" w:eastAsia="仿宋"/>
          <w:b/>
        </w:rPr>
        <w:t>系统调研</w:t>
      </w:r>
      <w:bookmarkEnd w:id="49"/>
    </w:p>
    <w:p>
      <w:pPr>
        <w:widowControl/>
        <w:snapToGrid w:val="0"/>
        <w:spacing w:line="276" w:lineRule="auto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kern w:val="2"/>
          <w:szCs w:val="24"/>
          <w:lang w:bidi="ar"/>
        </w:rPr>
        <w:t>从技术层面和管理制度两个方面进行调研，最终形成医院核心业务系统的信息系统基础调研表。</w:t>
      </w:r>
    </w:p>
    <w:p>
      <w:pPr>
        <w:pStyle w:val="2"/>
        <w:keepNext w:val="0"/>
        <w:keepLines w:val="0"/>
        <w:numPr>
          <w:ilvl w:val="2"/>
          <w:numId w:val="2"/>
        </w:numPr>
        <w:rPr>
          <w:rFonts w:hint="eastAsia" w:ascii="Arial Unicode MS" w:hAnsi="Arial Unicode MS" w:eastAsia="仿宋"/>
          <w:b/>
        </w:rPr>
      </w:pPr>
      <w:bookmarkStart w:id="50" w:name="_Toc16150"/>
      <w:r>
        <w:rPr>
          <w:rFonts w:hint="eastAsia" w:ascii="Arial Unicode MS" w:hAnsi="Arial Unicode MS" w:eastAsia="仿宋"/>
          <w:b/>
        </w:rPr>
        <w:t>系统风险评估</w:t>
      </w:r>
      <w:bookmarkEnd w:id="50"/>
    </w:p>
    <w:p>
      <w:pPr>
        <w:widowControl/>
        <w:snapToGrid w:val="0"/>
        <w:spacing w:line="276" w:lineRule="auto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kern w:val="2"/>
          <w:szCs w:val="24"/>
          <w:lang w:bidi="ar"/>
        </w:rPr>
        <w:t>开展医院核心业务系统，互联网医院系统，官网系统的风险评估，结合渗透测试和漏洞扫描等技术手段，对信息资产所面临的威胁、存在的弱点、造成的影响，以及信息系统风险的可能性进行全面的安全评估，并提出针对性的解决方案。</w:t>
      </w:r>
    </w:p>
    <w:p>
      <w:pPr>
        <w:pStyle w:val="2"/>
        <w:keepNext w:val="0"/>
        <w:keepLines w:val="0"/>
        <w:numPr>
          <w:ilvl w:val="2"/>
          <w:numId w:val="2"/>
        </w:numPr>
        <w:rPr>
          <w:rFonts w:hint="eastAsia" w:ascii="Arial Unicode MS" w:hAnsi="Arial Unicode MS" w:eastAsia="仿宋"/>
          <w:b/>
        </w:rPr>
      </w:pPr>
      <w:bookmarkStart w:id="51" w:name="_Toc19181"/>
      <w:r>
        <w:rPr>
          <w:rFonts w:hint="eastAsia" w:ascii="Arial Unicode MS" w:hAnsi="Arial Unicode MS" w:eastAsia="仿宋"/>
          <w:b/>
        </w:rPr>
        <w:t>系统差距分析</w:t>
      </w:r>
      <w:bookmarkEnd w:id="51"/>
    </w:p>
    <w:p>
      <w:pPr>
        <w:widowControl/>
        <w:snapToGrid w:val="0"/>
        <w:spacing w:line="276" w:lineRule="auto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kern w:val="2"/>
          <w:szCs w:val="24"/>
          <w:lang w:bidi="ar"/>
        </w:rPr>
        <w:t>依照《信息安全技术信息系统安全等级保护基本要求》第三级的要求，对医院核心业务系统，互联网医院系统，官网系统进行差距分析评估工作，最终形成差距分析报告和整改建议及实施方案。</w:t>
      </w:r>
    </w:p>
    <w:p>
      <w:pPr>
        <w:pStyle w:val="2"/>
        <w:keepNext w:val="0"/>
        <w:keepLines w:val="0"/>
        <w:numPr>
          <w:ilvl w:val="2"/>
          <w:numId w:val="2"/>
        </w:numPr>
        <w:rPr>
          <w:rFonts w:hint="eastAsia" w:ascii="Arial Unicode MS" w:hAnsi="Arial Unicode MS" w:eastAsia="仿宋"/>
          <w:b/>
        </w:rPr>
      </w:pPr>
      <w:bookmarkStart w:id="52" w:name="_Toc13219"/>
      <w:r>
        <w:rPr>
          <w:rFonts w:hint="eastAsia" w:ascii="Arial Unicode MS" w:hAnsi="Arial Unicode MS" w:eastAsia="仿宋"/>
          <w:b/>
        </w:rPr>
        <w:t>物理机房合规咨询</w:t>
      </w:r>
      <w:bookmarkEnd w:id="52"/>
    </w:p>
    <w:p>
      <w:pPr>
        <w:widowControl/>
        <w:snapToGrid w:val="0"/>
        <w:spacing w:line="276" w:lineRule="auto"/>
        <w:ind w:firstLine="480" w:firstLineChars="200"/>
        <w:rPr>
          <w:rFonts w:hint="eastAsia" w:ascii="宋体" w:hAnsi="宋体" w:cs="宋体"/>
          <w:kern w:val="2"/>
          <w:szCs w:val="24"/>
          <w:lang w:bidi="ar"/>
        </w:rPr>
      </w:pPr>
      <w:r>
        <w:rPr>
          <w:rFonts w:hint="eastAsia" w:ascii="宋体" w:hAnsi="宋体" w:cs="宋体"/>
          <w:kern w:val="2"/>
          <w:szCs w:val="24"/>
          <w:lang w:bidi="ar"/>
        </w:rPr>
        <w:t>提供对物理机房建设、整改等方面的合规咨询，保证物理机房达到等级保护物理安全的要求。</w:t>
      </w:r>
    </w:p>
    <w:p>
      <w:pPr>
        <w:pStyle w:val="2"/>
        <w:keepNext w:val="0"/>
        <w:keepLines w:val="0"/>
        <w:numPr>
          <w:ilvl w:val="1"/>
          <w:numId w:val="2"/>
        </w:numPr>
        <w:rPr>
          <w:rFonts w:hint="eastAsia" w:ascii="Arial Unicode MS" w:hAnsi="Arial Unicode MS" w:eastAsia="仿宋"/>
          <w:b/>
        </w:rPr>
      </w:pPr>
      <w:bookmarkStart w:id="53" w:name="_Toc18244"/>
      <w:r>
        <w:rPr>
          <w:rFonts w:hint="eastAsia" w:ascii="Arial Unicode MS" w:hAnsi="Arial Unicode MS" w:eastAsia="仿宋"/>
          <w:b/>
        </w:rPr>
        <w:t>等级保护测评服务</w:t>
      </w:r>
      <w:bookmarkEnd w:id="53"/>
    </w:p>
    <w:p>
      <w:pPr>
        <w:widowControl/>
        <w:snapToGrid w:val="0"/>
        <w:spacing w:line="276" w:lineRule="auto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kern w:val="2"/>
          <w:szCs w:val="24"/>
          <w:lang w:bidi="ar"/>
        </w:rPr>
        <w:t>根据《信息安全技术信息系统安全等级保护测评要求》第三级的要求，协调测评机构开展等级测评。</w:t>
      </w:r>
    </w:p>
    <w:p>
      <w:pPr>
        <w:pStyle w:val="2"/>
        <w:keepNext w:val="0"/>
        <w:keepLines w:val="0"/>
        <w:numPr>
          <w:ilvl w:val="1"/>
          <w:numId w:val="2"/>
        </w:numPr>
        <w:rPr>
          <w:rFonts w:hint="eastAsia" w:ascii="Arial Unicode MS" w:hAnsi="Arial Unicode MS" w:eastAsia="仿宋"/>
          <w:b/>
        </w:rPr>
      </w:pPr>
      <w:bookmarkStart w:id="54" w:name="_Toc3018"/>
      <w:r>
        <w:rPr>
          <w:rFonts w:hint="eastAsia" w:ascii="Arial Unicode MS" w:hAnsi="Arial Unicode MS" w:eastAsia="仿宋"/>
          <w:b/>
        </w:rPr>
        <w:t>等级保护整改</w:t>
      </w:r>
      <w:bookmarkEnd w:id="54"/>
      <w:r>
        <w:rPr>
          <w:rFonts w:hint="eastAsia" w:ascii="Arial Unicode MS" w:hAnsi="Arial Unicode MS" w:eastAsia="仿宋"/>
          <w:b/>
          <w:lang w:val="en-US" w:eastAsia="zh-CN"/>
        </w:rPr>
        <w:t>咨询</w:t>
      </w:r>
    </w:p>
    <w:p>
      <w:pPr>
        <w:pStyle w:val="2"/>
        <w:keepNext w:val="0"/>
        <w:keepLines w:val="0"/>
        <w:numPr>
          <w:ilvl w:val="2"/>
          <w:numId w:val="2"/>
        </w:numPr>
        <w:rPr>
          <w:rFonts w:hint="eastAsia" w:ascii="Arial Unicode MS" w:hAnsi="Arial Unicode MS" w:eastAsia="仿宋"/>
          <w:b/>
        </w:rPr>
      </w:pPr>
      <w:bookmarkStart w:id="55" w:name="_Toc17901"/>
      <w:r>
        <w:rPr>
          <w:rFonts w:hint="eastAsia" w:ascii="Arial Unicode MS" w:hAnsi="Arial Unicode MS" w:eastAsia="仿宋"/>
          <w:b/>
        </w:rPr>
        <w:t>系统安全加固</w:t>
      </w:r>
      <w:bookmarkEnd w:id="55"/>
      <w:r>
        <w:rPr>
          <w:rFonts w:hint="eastAsia" w:ascii="Arial Unicode MS" w:hAnsi="Arial Unicode MS" w:eastAsia="仿宋"/>
          <w:b/>
          <w:lang w:val="en-US" w:eastAsia="zh-CN"/>
        </w:rPr>
        <w:t>咨询</w:t>
      </w:r>
    </w:p>
    <w:p>
      <w:pPr>
        <w:widowControl/>
        <w:snapToGrid w:val="0"/>
        <w:spacing w:line="276" w:lineRule="auto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kern w:val="2"/>
          <w:szCs w:val="24"/>
          <w:lang w:bidi="ar"/>
        </w:rPr>
        <w:t>按照三级等保的标准，根据差距性分析提供专业的系统安全加固意见，从应用、网络、主机、数据库等层面</w:t>
      </w:r>
      <w:r>
        <w:rPr>
          <w:rFonts w:hint="eastAsia" w:ascii="宋体" w:hAnsi="宋体" w:cs="宋体"/>
          <w:kern w:val="2"/>
          <w:szCs w:val="24"/>
          <w:lang w:val="en-US" w:eastAsia="zh-CN" w:bidi="ar"/>
        </w:rPr>
        <w:t>指导</w:t>
      </w:r>
      <w:r>
        <w:rPr>
          <w:rFonts w:hint="eastAsia" w:ascii="宋体" w:hAnsi="宋体" w:cs="宋体"/>
          <w:kern w:val="2"/>
          <w:szCs w:val="24"/>
          <w:lang w:bidi="ar"/>
        </w:rPr>
        <w:t>加固落地；包含对风险评估、指标项目的高中低危风险项的修复及落地技术</w:t>
      </w:r>
      <w:r>
        <w:rPr>
          <w:rFonts w:hint="eastAsia" w:ascii="宋体" w:hAnsi="宋体" w:cs="宋体"/>
          <w:kern w:val="2"/>
          <w:szCs w:val="24"/>
          <w:lang w:val="en-US" w:eastAsia="zh-CN" w:bidi="ar"/>
        </w:rPr>
        <w:t>咨询</w:t>
      </w:r>
      <w:r>
        <w:rPr>
          <w:rFonts w:hint="eastAsia" w:ascii="宋体" w:hAnsi="宋体" w:cs="宋体"/>
          <w:kern w:val="2"/>
          <w:szCs w:val="24"/>
          <w:lang w:bidi="ar"/>
        </w:rPr>
        <w:t>服务。</w:t>
      </w:r>
    </w:p>
    <w:p>
      <w:pPr>
        <w:pStyle w:val="2"/>
        <w:keepNext w:val="0"/>
        <w:keepLines w:val="0"/>
        <w:numPr>
          <w:ilvl w:val="2"/>
          <w:numId w:val="2"/>
        </w:numPr>
        <w:rPr>
          <w:rFonts w:hint="eastAsia" w:ascii="Arial Unicode MS" w:hAnsi="Arial Unicode MS" w:eastAsia="仿宋"/>
          <w:b/>
        </w:rPr>
      </w:pPr>
      <w:bookmarkStart w:id="56" w:name="_Toc4286"/>
      <w:r>
        <w:rPr>
          <w:rFonts w:hint="eastAsia" w:ascii="Arial Unicode MS" w:hAnsi="Arial Unicode MS" w:eastAsia="仿宋"/>
          <w:b/>
        </w:rPr>
        <w:t>管理制度与文档体系的完善</w:t>
      </w:r>
      <w:bookmarkEnd w:id="56"/>
    </w:p>
    <w:p>
      <w:pPr>
        <w:widowControl/>
        <w:snapToGrid w:val="0"/>
        <w:spacing w:line="276" w:lineRule="auto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kern w:val="2"/>
          <w:szCs w:val="24"/>
          <w:lang w:bidi="ar"/>
        </w:rPr>
        <w:t>等级保护要求的管理体系建设中涉及到的文档的编撰，以及相关记录的填写与完善。</w:t>
      </w:r>
    </w:p>
    <w:p>
      <w:pPr>
        <w:pStyle w:val="2"/>
        <w:keepNext w:val="0"/>
        <w:keepLines w:val="0"/>
        <w:numPr>
          <w:ilvl w:val="1"/>
          <w:numId w:val="2"/>
        </w:numPr>
        <w:rPr>
          <w:rFonts w:hint="eastAsia" w:ascii="Arial Unicode MS" w:hAnsi="Arial Unicode MS" w:eastAsia="仿宋"/>
          <w:b/>
        </w:rPr>
      </w:pPr>
      <w:bookmarkStart w:id="57" w:name="_Toc396"/>
      <w:r>
        <w:rPr>
          <w:rFonts w:hint="eastAsia" w:ascii="Arial Unicode MS" w:hAnsi="Arial Unicode MS" w:eastAsia="仿宋"/>
          <w:b/>
        </w:rPr>
        <w:t>网络安全服务</w:t>
      </w:r>
      <w:bookmarkEnd w:id="57"/>
    </w:p>
    <w:p>
      <w:pPr>
        <w:pStyle w:val="2"/>
        <w:keepNext w:val="0"/>
        <w:keepLines w:val="0"/>
        <w:numPr>
          <w:ilvl w:val="2"/>
          <w:numId w:val="2"/>
        </w:numPr>
        <w:rPr>
          <w:rFonts w:hint="eastAsia" w:ascii="Arial Unicode MS" w:hAnsi="Arial Unicode MS" w:eastAsia="仿宋"/>
          <w:b/>
        </w:rPr>
      </w:pPr>
      <w:bookmarkStart w:id="58" w:name="_Toc28544"/>
      <w:r>
        <w:rPr>
          <w:rFonts w:hint="eastAsia" w:ascii="Arial Unicode MS" w:hAnsi="Arial Unicode MS" w:eastAsia="仿宋"/>
          <w:b/>
        </w:rPr>
        <w:t>漏洞扫描</w:t>
      </w:r>
      <w:bookmarkEnd w:id="58"/>
    </w:p>
    <w:p>
      <w:pPr>
        <w:widowControl/>
        <w:snapToGrid w:val="0"/>
        <w:spacing w:line="276" w:lineRule="auto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kern w:val="2"/>
          <w:szCs w:val="24"/>
          <w:lang w:bidi="ar"/>
        </w:rPr>
        <w:t>提供全面漏洞扫描（Web应用层和主机层），找出系统中存在的潜在安全隐患，提供解决方案。扫描范围包括：对内部信息系统和网络进行安全扫描，从内部和外部两个角度来查找网络结构、网络设备、服务器主机、数据和账号/口令等安全对象目标存在的安全风险、漏洞和威胁。扫描完成后提供漏洞扫描报告，报告包含漏洞详细说明和相应的修改建议，并对修复后的结果进行二次复核扫描。</w:t>
      </w:r>
    </w:p>
    <w:p>
      <w:pPr>
        <w:pStyle w:val="2"/>
        <w:keepNext w:val="0"/>
        <w:keepLines w:val="0"/>
        <w:numPr>
          <w:ilvl w:val="2"/>
          <w:numId w:val="2"/>
        </w:numPr>
        <w:rPr>
          <w:rFonts w:hint="eastAsia" w:ascii="Arial Unicode MS" w:hAnsi="Arial Unicode MS" w:eastAsia="仿宋"/>
          <w:b/>
        </w:rPr>
      </w:pPr>
      <w:bookmarkStart w:id="59" w:name="_Toc19702"/>
      <w:r>
        <w:rPr>
          <w:rFonts w:hint="eastAsia" w:ascii="Arial Unicode MS" w:hAnsi="Arial Unicode MS" w:eastAsia="仿宋"/>
          <w:b/>
        </w:rPr>
        <w:t>渗透测试</w:t>
      </w:r>
      <w:bookmarkEnd w:id="59"/>
    </w:p>
    <w:p>
      <w:pPr>
        <w:widowControl/>
        <w:snapToGrid w:val="0"/>
        <w:spacing w:line="276" w:lineRule="auto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kern w:val="2"/>
          <w:szCs w:val="24"/>
          <w:lang w:bidi="ar"/>
        </w:rPr>
        <w:t>用“黑盒测试”、“白盒测试”和“灰盒测试”三种方法进行渗透测试，针对信息系统的主机层面、应用系统层面和网络设备层面三方面进行。渗透测试完成后提供渗透测试报告，报告包含漏洞详细说明和相应的修复建议，并对修复后的结果进行二次复核测试。</w:t>
      </w:r>
    </w:p>
    <w:p>
      <w:pPr>
        <w:pStyle w:val="2"/>
        <w:keepNext w:val="0"/>
        <w:keepLines w:val="0"/>
        <w:numPr>
          <w:ilvl w:val="1"/>
          <w:numId w:val="2"/>
        </w:numPr>
        <w:rPr>
          <w:rFonts w:hint="eastAsia" w:ascii="Arial Unicode MS" w:hAnsi="Arial Unicode MS" w:eastAsia="仿宋"/>
          <w:b/>
        </w:rPr>
      </w:pPr>
      <w:bookmarkStart w:id="60" w:name="_Toc30682"/>
      <w:r>
        <w:rPr>
          <w:rFonts w:hint="eastAsia" w:ascii="Arial Unicode MS" w:hAnsi="Arial Unicode MS" w:eastAsia="仿宋"/>
          <w:b/>
        </w:rPr>
        <w:t>定级备案</w:t>
      </w:r>
      <w:bookmarkEnd w:id="60"/>
    </w:p>
    <w:p>
      <w:pPr>
        <w:widowControl/>
        <w:snapToGrid w:val="0"/>
        <w:spacing w:line="276" w:lineRule="auto"/>
        <w:ind w:firstLine="480" w:firstLineChars="200"/>
        <w:rPr>
          <w:rFonts w:hint="eastAsia" w:ascii="宋体" w:hAnsi="宋体" w:cs="宋体"/>
          <w:kern w:val="2"/>
          <w:szCs w:val="24"/>
          <w:lang w:bidi="ar"/>
        </w:rPr>
      </w:pPr>
      <w:r>
        <w:rPr>
          <w:rFonts w:hint="eastAsia" w:ascii="宋体" w:hAnsi="宋体" w:cs="宋体"/>
          <w:kern w:val="2"/>
          <w:szCs w:val="24"/>
          <w:lang w:bidi="ar"/>
        </w:rPr>
        <w:t>协助填写和完善医院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核心业务系统（HIS、LIS、RIS、PACS）</w:t>
      </w:r>
      <w:r>
        <w:rPr>
          <w:rFonts w:hint="eastAsia" w:ascii="宋体" w:hAnsi="宋体" w:cs="宋体"/>
          <w:sz w:val="24"/>
          <w:szCs w:val="24"/>
          <w:lang w:val="en-US" w:eastAsia="zh-CN" w:bidi="ar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上海市养志康复医院</w:t>
      </w:r>
      <w:r>
        <w:rPr>
          <w:rFonts w:hint="eastAsia" w:ascii="宋体" w:hAnsi="宋体" w:cs="宋体"/>
          <w:kern w:val="2"/>
          <w:szCs w:val="24"/>
          <w:lang w:bidi="ar"/>
        </w:rPr>
        <w:t>官网系统的等级保护定级备案材料，最终形成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核心业务系统（HIS、LIS、RIS、PACS）</w:t>
      </w:r>
      <w:r>
        <w:rPr>
          <w:rFonts w:hint="eastAsia" w:ascii="宋体" w:hAnsi="宋体" w:cs="宋体"/>
          <w:sz w:val="24"/>
          <w:szCs w:val="24"/>
          <w:lang w:val="en-US" w:eastAsia="zh-CN" w:bidi="ar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>上海市养志康复医院</w:t>
      </w:r>
      <w:r>
        <w:rPr>
          <w:rFonts w:hint="eastAsia" w:ascii="宋体" w:hAnsi="宋体" w:cs="宋体"/>
          <w:kern w:val="2"/>
          <w:szCs w:val="24"/>
          <w:lang w:bidi="ar"/>
        </w:rPr>
        <w:t>官网系统的等级保护定级备案材料。</w:t>
      </w:r>
    </w:p>
    <w:p>
      <w:pPr>
        <w:pStyle w:val="2"/>
        <w:keepNext w:val="0"/>
        <w:keepLines w:val="0"/>
        <w:numPr>
          <w:ilvl w:val="0"/>
          <w:numId w:val="2"/>
        </w:numPr>
        <w:rPr>
          <w:rFonts w:hint="eastAsia" w:ascii="Arial Unicode MS" w:hAnsi="Arial Unicode MS" w:eastAsia="仿宋"/>
          <w:b/>
        </w:rPr>
      </w:pPr>
      <w:bookmarkStart w:id="61" w:name="_Toc25369"/>
      <w:r>
        <w:rPr>
          <w:rFonts w:hint="eastAsia" w:ascii="Arial Unicode MS" w:hAnsi="Arial Unicode MS" w:eastAsia="仿宋"/>
          <w:b/>
        </w:rPr>
        <w:t>需交付的技术文档资料</w:t>
      </w:r>
      <w:bookmarkEnd w:id="61"/>
    </w:p>
    <w:p>
      <w:pPr>
        <w:widowControl/>
        <w:snapToGrid w:val="0"/>
        <w:spacing w:line="276" w:lineRule="auto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kern w:val="2"/>
          <w:szCs w:val="24"/>
          <w:lang w:bidi="ar"/>
        </w:rPr>
        <w:t>项目交付主要是开展等级保护工作的过程与结果文档，具体包括（但不限于）如下文档：</w:t>
      </w:r>
    </w:p>
    <w:p>
      <w:pPr>
        <w:pStyle w:val="12"/>
        <w:numPr>
          <w:ilvl w:val="0"/>
          <w:numId w:val="3"/>
        </w:numPr>
        <w:tabs>
          <w:tab w:val="clear" w:pos="624"/>
        </w:tabs>
        <w:spacing w:line="276" w:lineRule="auto"/>
        <w:jc w:val="both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信息系统等级保护定级备案材料（备案表、定级报告等）</w:t>
      </w:r>
    </w:p>
    <w:p>
      <w:pPr>
        <w:pStyle w:val="12"/>
        <w:numPr>
          <w:ilvl w:val="0"/>
          <w:numId w:val="3"/>
        </w:numPr>
        <w:tabs>
          <w:tab w:val="clear" w:pos="624"/>
        </w:tabs>
        <w:spacing w:line="276" w:lineRule="auto"/>
        <w:jc w:val="both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信息系统基本情况调查表</w:t>
      </w:r>
    </w:p>
    <w:p>
      <w:pPr>
        <w:pStyle w:val="12"/>
        <w:numPr>
          <w:ilvl w:val="0"/>
          <w:numId w:val="3"/>
        </w:numPr>
        <w:tabs>
          <w:tab w:val="clear" w:pos="624"/>
        </w:tabs>
        <w:spacing w:line="276" w:lineRule="auto"/>
        <w:jc w:val="both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信息系统等级保护预测评材料</w:t>
      </w:r>
    </w:p>
    <w:p>
      <w:pPr>
        <w:pStyle w:val="12"/>
        <w:numPr>
          <w:ilvl w:val="0"/>
          <w:numId w:val="3"/>
        </w:numPr>
        <w:tabs>
          <w:tab w:val="clear" w:pos="624"/>
        </w:tabs>
        <w:spacing w:line="276" w:lineRule="auto"/>
        <w:jc w:val="both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信息系统等级保护差距分析报告</w:t>
      </w:r>
    </w:p>
    <w:p>
      <w:pPr>
        <w:pStyle w:val="12"/>
        <w:numPr>
          <w:ilvl w:val="0"/>
          <w:numId w:val="3"/>
        </w:numPr>
        <w:tabs>
          <w:tab w:val="clear" w:pos="624"/>
        </w:tabs>
        <w:spacing w:line="276" w:lineRule="auto"/>
        <w:jc w:val="both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信息系统渗透测试报告</w:t>
      </w:r>
    </w:p>
    <w:p>
      <w:pPr>
        <w:pStyle w:val="12"/>
        <w:numPr>
          <w:ilvl w:val="0"/>
          <w:numId w:val="3"/>
        </w:numPr>
        <w:tabs>
          <w:tab w:val="clear" w:pos="624"/>
        </w:tabs>
        <w:spacing w:line="276" w:lineRule="auto"/>
        <w:jc w:val="both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信息系统漏洞扫描报告</w:t>
      </w:r>
    </w:p>
    <w:p>
      <w:pPr>
        <w:pStyle w:val="12"/>
        <w:numPr>
          <w:ilvl w:val="0"/>
          <w:numId w:val="3"/>
        </w:numPr>
        <w:tabs>
          <w:tab w:val="clear" w:pos="624"/>
        </w:tabs>
        <w:spacing w:line="276" w:lineRule="auto"/>
        <w:jc w:val="both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全套信息安全管理制度体系文档（可落地）</w:t>
      </w:r>
    </w:p>
    <w:p>
      <w:pPr>
        <w:pStyle w:val="12"/>
        <w:numPr>
          <w:ilvl w:val="0"/>
          <w:numId w:val="3"/>
        </w:numPr>
        <w:tabs>
          <w:tab w:val="clear" w:pos="624"/>
        </w:tabs>
        <w:spacing w:line="276" w:lineRule="auto"/>
        <w:jc w:val="both"/>
        <w:rPr>
          <w:rFonts w:hint="eastAsia"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测评机构出具的网络安全等级测评报告</w:t>
      </w:r>
    </w:p>
    <w:p>
      <w:pPr>
        <w:pStyle w:val="12"/>
        <w:numPr>
          <w:ilvl w:val="0"/>
          <w:numId w:val="3"/>
        </w:numPr>
        <w:tabs>
          <w:tab w:val="clear" w:pos="624"/>
        </w:tabs>
        <w:spacing w:line="276" w:lineRule="auto"/>
        <w:jc w:val="both"/>
        <w:rPr>
          <w:rFonts w:hint="eastAsia" w:ascii="宋体" w:hAnsi="宋体"/>
          <w:kern w:val="2"/>
          <w:sz w:val="24"/>
          <w:szCs w:val="24"/>
          <w:lang w:bidi="ar"/>
        </w:rPr>
      </w:pPr>
      <w:r>
        <w:rPr>
          <w:rFonts w:hint="eastAsia" w:ascii="宋体" w:hAnsi="宋体" w:cs="宋体"/>
          <w:kern w:val="2"/>
          <w:sz w:val="24"/>
          <w:szCs w:val="24"/>
        </w:rPr>
        <w:t>市公安局出具的信息系统备案证明</w:t>
      </w:r>
    </w:p>
    <w:p>
      <w:pPr>
        <w:pStyle w:val="2"/>
        <w:keepNext w:val="0"/>
        <w:keepLines w:val="0"/>
        <w:numPr>
          <w:ilvl w:val="0"/>
          <w:numId w:val="2"/>
        </w:numPr>
        <w:rPr>
          <w:rFonts w:hint="eastAsia" w:ascii="Arial Unicode MS" w:hAnsi="Arial Unicode MS" w:eastAsia="仿宋"/>
          <w:b/>
        </w:rPr>
      </w:pPr>
      <w:bookmarkStart w:id="62" w:name="_Toc31705"/>
      <w:r>
        <w:rPr>
          <w:rFonts w:hint="eastAsia" w:ascii="Arial Unicode MS" w:hAnsi="Arial Unicode MS" w:eastAsia="仿宋"/>
          <w:b/>
        </w:rPr>
        <w:t>售后服务要求</w:t>
      </w:r>
      <w:bookmarkEnd w:id="62"/>
    </w:p>
    <w:p>
      <w:pPr>
        <w:pStyle w:val="2"/>
        <w:keepNext w:val="0"/>
        <w:keepLines w:val="0"/>
        <w:numPr>
          <w:ilvl w:val="1"/>
          <w:numId w:val="2"/>
        </w:num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kern w:val="2"/>
          <w:szCs w:val="24"/>
          <w:lang w:bidi="ar"/>
        </w:rPr>
        <w:t>投标人需在上海市有固定的售后服务团队（公司注册地在上海或在上海有固定办公地点），具有成熟的服务质控体系；</w:t>
      </w:r>
    </w:p>
    <w:p>
      <w:pPr>
        <w:pStyle w:val="2"/>
        <w:keepNext w:val="0"/>
        <w:keepLines w:val="0"/>
        <w:numPr>
          <w:ilvl w:val="1"/>
          <w:numId w:val="2"/>
        </w:num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kern w:val="2"/>
          <w:szCs w:val="24"/>
          <w:lang w:bidi="ar"/>
        </w:rPr>
        <w:t>鉴于本次项目内容较为重要，为保障服务质量、服务效率，投标人须做好服务实施计划，计划内容须包括如下内容（包含但不仅限于）：</w:t>
      </w:r>
    </w:p>
    <w:p>
      <w:pPr>
        <w:tabs>
          <w:tab w:val="left" w:pos="843"/>
        </w:tabs>
        <w:spacing w:line="276" w:lineRule="auto"/>
        <w:ind w:firstLine="480" w:firstLineChars="20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kern w:val="2"/>
          <w:szCs w:val="24"/>
          <w:lang w:bidi="ar"/>
        </w:rPr>
        <w:t>（1）中标后，投标人的现场负责人须由有资质的项目经理具体负责。保证派遣人员未经甲方同意，不得调换或撤离，项目人员必须接受招标人的项目管理、保障服务交付时间及质量要求；</w:t>
      </w:r>
    </w:p>
    <w:p>
      <w:pPr>
        <w:tabs>
          <w:tab w:val="left" w:pos="843"/>
        </w:tabs>
        <w:spacing w:line="276" w:lineRule="auto"/>
        <w:ind w:firstLine="480" w:firstLineChars="200"/>
        <w:rPr>
          <w:rFonts w:hint="eastAsia" w:ascii="宋体" w:hAnsi="宋体" w:cs="宋体"/>
          <w:kern w:val="2"/>
          <w:szCs w:val="24"/>
          <w:lang w:eastAsia="zh-CN" w:bidi="ar"/>
        </w:rPr>
      </w:pPr>
      <w:r>
        <w:rPr>
          <w:rFonts w:hint="eastAsia" w:ascii="宋体" w:hAnsi="宋体" w:cs="宋体"/>
          <w:color w:val="000000"/>
          <w:kern w:val="2"/>
          <w:szCs w:val="24"/>
          <w:lang w:bidi="ar"/>
        </w:rPr>
        <w:t>（2）</w:t>
      </w:r>
      <w:r>
        <w:rPr>
          <w:rFonts w:hint="eastAsia" w:ascii="宋体" w:hAnsi="宋体" w:cs="宋体"/>
          <w:kern w:val="2"/>
          <w:szCs w:val="24"/>
          <w:lang w:bidi="ar"/>
        </w:rPr>
        <w:t>中标后，投标人的服务人员须同甲方签订</w:t>
      </w:r>
      <w:r>
        <w:rPr>
          <w:rFonts w:hint="eastAsia" w:ascii="宋体" w:hAnsi="宋体" w:cs="宋体"/>
          <w:kern w:val="2"/>
          <w:szCs w:val="24"/>
          <w:lang w:eastAsia="zh-CN" w:bidi="ar"/>
        </w:rPr>
        <w:t>。</w:t>
      </w:r>
    </w:p>
    <w:p>
      <w:pPr>
        <w:rPr>
          <w:rFonts w:hint="eastAsia" w:ascii="宋体" w:hAnsi="宋体" w:cs="宋体"/>
          <w:kern w:val="2"/>
          <w:szCs w:val="24"/>
          <w:lang w:eastAsia="zh-CN" w:bidi="ar"/>
        </w:rPr>
      </w:pPr>
      <w:r>
        <w:rPr>
          <w:rFonts w:hint="eastAsia" w:ascii="宋体" w:hAnsi="宋体" w:cs="宋体"/>
          <w:kern w:val="2"/>
          <w:szCs w:val="24"/>
          <w:lang w:eastAsia="zh-CN" w:bidi="ar"/>
        </w:rPr>
        <w:br w:type="page"/>
      </w:r>
    </w:p>
    <w:p>
      <w:pPr>
        <w:pStyle w:val="2"/>
        <w:keepNext w:val="0"/>
        <w:keepLines w:val="0"/>
        <w:jc w:val="center"/>
        <w:rPr>
          <w:rFonts w:hint="default" w:ascii="Arial Unicode MS" w:hAnsi="Arial Unicode MS" w:eastAsia="仿宋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仿宋"/>
          <w:sz w:val="44"/>
          <w:szCs w:val="44"/>
        </w:rPr>
        <w:t>第</w:t>
      </w:r>
      <w:r>
        <w:rPr>
          <w:rFonts w:hint="eastAsia" w:ascii="Arial Unicode MS" w:hAnsi="Arial Unicode MS" w:eastAsia="仿宋"/>
          <w:sz w:val="44"/>
          <w:szCs w:val="44"/>
          <w:lang w:val="en-US" w:eastAsia="zh-CN"/>
        </w:rPr>
        <w:t>三</w:t>
      </w:r>
      <w:r>
        <w:rPr>
          <w:rFonts w:hint="eastAsia" w:ascii="Arial Unicode MS" w:hAnsi="Arial Unicode MS" w:eastAsia="仿宋"/>
          <w:sz w:val="44"/>
          <w:szCs w:val="44"/>
        </w:rPr>
        <w:t>章</w:t>
      </w:r>
      <w:r>
        <w:rPr>
          <w:rFonts w:ascii="Arial Unicode MS" w:hAnsi="Arial Unicode MS" w:eastAsia="仿宋"/>
          <w:sz w:val="44"/>
          <w:szCs w:val="44"/>
        </w:rPr>
        <w:t xml:space="preserve">  </w:t>
      </w:r>
      <w:r>
        <w:rPr>
          <w:rFonts w:hint="eastAsia" w:ascii="Arial Unicode MS" w:hAnsi="Arial Unicode MS" w:eastAsia="仿宋"/>
          <w:sz w:val="44"/>
          <w:szCs w:val="44"/>
          <w:lang w:val="en-US" w:eastAsia="zh-CN"/>
        </w:rPr>
        <w:t>综合评估法</w:t>
      </w:r>
    </w:p>
    <w:p>
      <w:pPr>
        <w:jc w:val="center"/>
        <w:rPr>
          <w:rFonts w:hint="eastAsia" w:ascii="Arial Unicode MS" w:hAnsi="Arial Unicode MS" w:eastAsia="仿宋" w:cs="Times New Roman"/>
          <w:sz w:val="32"/>
          <w:lang w:val="en-US" w:eastAsia="zh-CN" w:bidi="ar-SA"/>
        </w:rPr>
      </w:pPr>
      <w:r>
        <w:rPr>
          <w:rFonts w:hint="eastAsia" w:ascii="Arial Unicode MS" w:hAnsi="Arial Unicode MS" w:eastAsia="仿宋" w:cs="Times New Roman"/>
          <w:sz w:val="32"/>
          <w:lang w:val="en-US" w:eastAsia="zh-CN" w:bidi="ar-SA"/>
        </w:rPr>
        <w:t>综合评估法</w:t>
      </w:r>
    </w:p>
    <w:p>
      <w:pPr>
        <w:jc w:val="center"/>
        <w:rPr>
          <w:rFonts w:hint="eastAsia" w:ascii="Arial Unicode MS" w:hAnsi="Arial Unicode MS" w:eastAsia="仿宋" w:cs="Times New Roman"/>
          <w:sz w:val="32"/>
          <w:lang w:val="en-US" w:eastAsia="zh-CN" w:bidi="ar-SA"/>
        </w:rPr>
      </w:pPr>
    </w:p>
    <w:tbl>
      <w:tblPr>
        <w:tblStyle w:val="7"/>
        <w:tblW w:w="5262" w:type="pct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05"/>
        <w:gridCol w:w="2449"/>
        <w:gridCol w:w="3794"/>
        <w:gridCol w:w="5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1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项目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评分项</w:t>
            </w:r>
          </w:p>
        </w:tc>
        <w:tc>
          <w:tcPr>
            <w:tcW w:w="136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评审要素</w:t>
            </w:r>
          </w:p>
        </w:tc>
        <w:tc>
          <w:tcPr>
            <w:tcW w:w="211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主要评审内容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满分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一、商务报价（40分）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商务报价得分（40分）</w:t>
            </w:r>
          </w:p>
        </w:tc>
        <w:tc>
          <w:tcPr>
            <w:tcW w:w="3478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满分40分，分值计算保留两位小数点。</w:t>
            </w:r>
          </w:p>
          <w:p>
            <w:pPr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以满足招标文件要求的所有投标方报价的最低价作为评标基准价，其价格分为满分。其他投标方的价格分统一按照下列公式计算：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投标报价得分=（评标基准价/投标报价）×40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二、技术方案（25分）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15" w:type="pct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</w:t>
            </w:r>
          </w:p>
        </w:tc>
        <w:tc>
          <w:tcPr>
            <w:tcW w:w="783" w:type="pct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系统功能响应（2</w:t>
            </w:r>
            <w:r>
              <w:rPr>
                <w:rFonts w:ascii="仿宋" w:hAnsi="仿宋" w:eastAsia="仿宋" w:cs="仿宋"/>
                <w:szCs w:val="21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分）</w:t>
            </w:r>
          </w:p>
        </w:tc>
        <w:tc>
          <w:tcPr>
            <w:tcW w:w="3478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项目实施、质量保证与验收方案是否符合本次项目建设要求。是否对项目实施管理具有系统的质量保证、项目进度和成本控制、项目风险管理、系统测试计划、项目范围管理、配置与变更管理、项目沟通管理、成果交付等内容，并提供可行性方案计划。</w:t>
            </w:r>
          </w:p>
          <w:p>
            <w:pPr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综合评价：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优：13-15分；良：10-13分；中：7-10分；差：0-7分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15" w:type="pct"/>
            <w:vMerge w:val="continue"/>
            <w:noWrap w:val="0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83" w:type="pct"/>
            <w:vMerge w:val="continue"/>
            <w:noWrap w:val="0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78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要求投标方案建设目标清晰、方案设计合理，需满足本次招标的原则，根据方案的优劣性酌情评分，</w:t>
            </w:r>
          </w:p>
          <w:p>
            <w:pPr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综合评价：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优：8-10分；良：6-8分；中：4-6分；差：0-4分。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三、实施售后（15分）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2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售后方案完整性（</w:t>
            </w:r>
            <w:r>
              <w:rPr>
                <w:rFonts w:hint="eastAsia" w:ascii="仿宋" w:hAnsi="仿宋" w:eastAsia="仿宋" w:cs="仿宋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5分）</w:t>
            </w:r>
          </w:p>
        </w:tc>
        <w:tc>
          <w:tcPr>
            <w:tcW w:w="3478" w:type="pct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提供完善的售后服务方案，对于免费运维期内售后服务进行评分，根据方案的优劣性酌情评分。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优：13-15分；良：10-13分；中：7-10分；差：0-7分；如投标人此项未做说明或无方案得0分。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四、综合能力（20分）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企业资质（10分）</w:t>
            </w:r>
          </w:p>
        </w:tc>
        <w:tc>
          <w:tcPr>
            <w:tcW w:w="3478" w:type="pct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textAlignment w:val="auto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投标人具备中国信息安全认证中心颁发的《信息安全风险评估资质》并提供证明材料</w:t>
            </w:r>
            <w:r>
              <w:rPr>
                <w:rFonts w:hint="eastAsia" w:ascii="仿宋" w:hAnsi="仿宋" w:eastAsia="仿宋" w:cs="仿宋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  <w:lang w:val="en-US" w:eastAsia="zh-CN" w:bidi="ar"/>
              </w:rPr>
              <w:t>或提供具备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中国信息安全认证中心颁发的《信息安全风险评估资质》</w:t>
            </w:r>
            <w:r>
              <w:rPr>
                <w:rFonts w:hint="eastAsia" w:ascii="仿宋" w:hAnsi="仿宋" w:eastAsia="仿宋" w:cs="仿宋"/>
                <w:szCs w:val="21"/>
                <w:lang w:val="en-US" w:eastAsia="zh-CN" w:bidi="ar"/>
              </w:rPr>
              <w:t>机构授权书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分）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15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2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经营业绩及类似成功案例（1</w:t>
            </w:r>
            <w:r>
              <w:rPr>
                <w:rFonts w:ascii="仿宋" w:hAnsi="仿宋" w:eastAsia="仿宋" w:cs="仿宋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分）</w:t>
            </w:r>
          </w:p>
        </w:tc>
        <w:tc>
          <w:tcPr>
            <w:tcW w:w="3478" w:type="pct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投标人提供20</w:t>
            </w:r>
            <w:r>
              <w:rPr>
                <w:rFonts w:hint="eastAsia" w:ascii="仿宋" w:hAnsi="仿宋" w:eastAsia="仿宋" w:cs="仿宋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年以来类似项目案例，每提供一个得</w:t>
            </w:r>
            <w:r>
              <w:rPr>
                <w:rFonts w:hint="eastAsia" w:ascii="仿宋" w:hAnsi="仿宋" w:eastAsia="仿宋" w:cs="仿宋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分，以合同复印件为准。最高10分，最低0分。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</w:t>
            </w:r>
            <w:r>
              <w:rPr>
                <w:rFonts w:ascii="仿宋" w:hAnsi="仿宋" w:eastAsia="仿宋" w:cs="仿宋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67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总 分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100</w:t>
            </w:r>
          </w:p>
        </w:tc>
      </w:tr>
    </w:tbl>
    <w:p>
      <w:pPr>
        <w:rPr>
          <w:rFonts w:hint="eastAsia" w:ascii="Arial Unicode MS" w:hAnsi="Arial Unicode MS" w:eastAsia="仿宋"/>
          <w:sz w:val="44"/>
          <w:szCs w:val="44"/>
        </w:rPr>
      </w:pPr>
    </w:p>
    <w:p>
      <w:pPr>
        <w:tabs>
          <w:tab w:val="left" w:pos="843"/>
        </w:tabs>
        <w:spacing w:line="276" w:lineRule="auto"/>
        <w:rPr>
          <w:rFonts w:hint="eastAsia" w:ascii="宋体" w:hAnsi="宋体" w:cs="宋体"/>
          <w:kern w:val="2"/>
          <w:szCs w:val="24"/>
          <w:lang w:eastAsia="zh-CN" w:bidi="ar"/>
        </w:rPr>
      </w:pPr>
    </w:p>
    <w:p>
      <w:pPr>
        <w:tabs>
          <w:tab w:val="left" w:pos="843"/>
        </w:tabs>
        <w:spacing w:line="276" w:lineRule="auto"/>
        <w:rPr>
          <w:rFonts w:hint="default" w:ascii="宋体" w:hAnsi="宋体" w:cs="宋体"/>
          <w:kern w:val="2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76180"/>
    <w:multiLevelType w:val="multilevel"/>
    <w:tmpl w:val="40276180"/>
    <w:lvl w:ilvl="0" w:tentative="0">
      <w:start w:val="1"/>
      <w:numFmt w:val="bullet"/>
      <w:lvlText w:val=""/>
      <w:lvlJc w:val="left"/>
      <w:pPr>
        <w:tabs>
          <w:tab w:val="left" w:pos="0"/>
        </w:tabs>
        <w:ind w:left="84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4200" w:hanging="420"/>
      </w:pPr>
      <w:rPr>
        <w:rFonts w:hint="default" w:ascii="Wingdings" w:hAnsi="Wingdings" w:cs="Wingdings"/>
      </w:rPr>
    </w:lvl>
  </w:abstractNum>
  <w:abstractNum w:abstractNumId="1">
    <w:nsid w:val="53872C61"/>
    <w:multiLevelType w:val="multilevel"/>
    <w:tmpl w:val="53872C61"/>
    <w:lvl w:ilvl="0" w:tentative="0">
      <w:start w:val="1"/>
      <w:numFmt w:val="decimal"/>
      <w:pStyle w:val="12"/>
      <w:lvlText w:val="图%1"/>
      <w:lvlJc w:val="left"/>
      <w:pPr>
        <w:tabs>
          <w:tab w:val="left" w:pos="624"/>
        </w:tabs>
        <w:ind w:left="624" w:hanging="62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4137124"/>
    <w:multiLevelType w:val="multilevel"/>
    <w:tmpl w:val="64137124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lvlText w:val="（%7）"/>
      <w:lvlJc w:val="left"/>
      <w:pPr>
        <w:ind w:left="1191" w:firstLine="0"/>
      </w:pPr>
      <w:rPr>
        <w:rFonts w:hint="eastAsia" w:ascii="黑体" w:eastAsia="黑体"/>
        <w:b w:val="0"/>
        <w:i w:val="0"/>
        <w:sz w:val="24"/>
      </w:rPr>
    </w:lvl>
    <w:lvl w:ilvl="7" w:tentative="0">
      <w:start w:val="1"/>
      <w:numFmt w:val="lowerLetter"/>
      <w:lvlText w:val="（%8）"/>
      <w:lvlJc w:val="left"/>
      <w:pPr>
        <w:ind w:left="1888" w:firstLine="0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vlJc w:val="left"/>
      <w:pPr>
        <w:ind w:left="2591" w:firstLine="0"/>
      </w:pPr>
      <w:rPr>
        <w:rFonts w:hint="eastAsia" w:ascii="黑体" w:eastAsia="黑体"/>
        <w:b w:val="0"/>
        <w:i w:val="0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A0A6C"/>
    <w:rsid w:val="00C37048"/>
    <w:rsid w:val="10831E63"/>
    <w:rsid w:val="110975E4"/>
    <w:rsid w:val="1A7A0A6C"/>
    <w:rsid w:val="2AA607D0"/>
    <w:rsid w:val="2C2F30AB"/>
    <w:rsid w:val="3B834EC2"/>
    <w:rsid w:val="4AAC4829"/>
    <w:rsid w:val="55A97243"/>
    <w:rsid w:val="58D07E24"/>
    <w:rsid w:val="6ECA7E42"/>
    <w:rsid w:val="7A2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180"/>
      <w:outlineLvl w:val="0"/>
    </w:pPr>
    <w:rPr>
      <w:rFonts w:ascii="Arial" w:eastAsia="黑体"/>
      <w:kern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60"/>
      <w:ind w:left="72" w:leftChars="30" w:right="72" w:rightChars="30"/>
      <w:jc w:val="center"/>
    </w:pPr>
    <w:rPr>
      <w:sz w:val="21"/>
    </w:rPr>
  </w:style>
  <w:style w:type="paragraph" w:styleId="4">
    <w:name w:val="footer"/>
    <w:basedOn w:val="1"/>
    <w:qFormat/>
    <w:uiPriority w:val="0"/>
    <w:pPr>
      <w:spacing w:line="240" w:lineRule="atLeast"/>
      <w:ind w:left="255" w:right="255"/>
      <w:jc w:val="left"/>
    </w:pPr>
  </w:style>
  <w:style w:type="paragraph" w:styleId="5">
    <w:name w:val="header"/>
    <w:basedOn w:val="1"/>
    <w:qFormat/>
    <w:uiPriority w:val="99"/>
    <w:pPr>
      <w:pBdr>
        <w:bottom w:val="double" w:color="auto" w:sz="6" w:space="2"/>
      </w:pBdr>
      <w:spacing w:line="240" w:lineRule="atLeast"/>
      <w:jc w:val="center"/>
    </w:pPr>
    <w:rPr>
      <w:b/>
      <w:sz w:val="21"/>
    </w:rPr>
  </w:style>
  <w:style w:type="paragraph" w:styleId="6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flName"/>
    <w:basedOn w:val="11"/>
    <w:qFormat/>
    <w:uiPriority w:val="0"/>
    <w:rPr>
      <w:sz w:val="32"/>
    </w:rPr>
  </w:style>
  <w:style w:type="paragraph" w:customStyle="1" w:styleId="11">
    <w:name w:val="flNote"/>
    <w:basedOn w:val="1"/>
    <w:qFormat/>
    <w:uiPriority w:val="0"/>
    <w:pPr>
      <w:spacing w:before="320" w:after="160"/>
      <w:jc w:val="center"/>
    </w:pPr>
    <w:rPr>
      <w:rFonts w:ascii="Arial" w:eastAsia="黑体"/>
      <w:sz w:val="30"/>
    </w:rPr>
  </w:style>
  <w:style w:type="paragraph" w:customStyle="1" w:styleId="12">
    <w:name w:val="列表（符号一级）（绿盟科技）"/>
    <w:basedOn w:val="1"/>
    <w:qFormat/>
    <w:uiPriority w:val="0"/>
    <w:pPr>
      <w:widowControl/>
      <w:numPr>
        <w:ilvl w:val="0"/>
        <w:numId w:val="1"/>
      </w:numPr>
      <w:tabs>
        <w:tab w:val="left" w:pos="0"/>
      </w:tabs>
      <w:adjustRightInd/>
      <w:spacing w:line="300" w:lineRule="auto"/>
      <w:jc w:val="left"/>
      <w:textAlignment w:val="auto"/>
    </w:pPr>
    <w:rPr>
      <w:rFonts w:ascii="Arial" w:hAnsi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2021-11-14T10:45:00Z</dcterms:created>
  <dc:creator>杨伟奇</dc:creator>
  <cp:lastModifiedBy>杨伟奇</cp:lastModifiedBy>
  <dcterms:modified xsi:type="dcterms:W3CDTF">2021-11-15T01:37:18Z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DF8055A376DB441F9A1906CD9EF7F2EB</vt:lpwstr>
  </property>
</Properties>
</file>