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462"/>
        </w:tabs>
        <w:spacing w:line="0" w:lineRule="atLeast"/>
        <w:ind w:firstLine="1710" w:firstLineChars="950"/>
        <w:jc w:val="right"/>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招标编号：施招2020-350</w:t>
      </w:r>
    </w:p>
    <w:p>
      <w:pPr>
        <w:spacing w:line="0" w:lineRule="atLeast"/>
        <w:ind w:firstLine="1710" w:firstLineChars="950"/>
        <w:jc w:val="right"/>
        <w:rPr>
          <w:rFonts w:cs="宋体" w:asciiTheme="minorEastAsia" w:hAnsiTheme="minorEastAsia" w:eastAsiaTheme="minorEastAsia"/>
          <w:color w:val="auto"/>
          <w:sz w:val="18"/>
          <w:szCs w:val="18"/>
          <w:highlight w:val="none"/>
        </w:rPr>
      </w:pPr>
    </w:p>
    <w:p>
      <w:pPr>
        <w:spacing w:line="0" w:lineRule="atLeast"/>
        <w:jc w:val="right"/>
        <w:rPr>
          <w:rFonts w:cs="宋体" w:asciiTheme="minorEastAsia" w:hAnsiTheme="minorEastAsia" w:eastAsiaTheme="minorEastAsia"/>
          <w:iCs/>
          <w:color w:val="auto"/>
          <w:sz w:val="18"/>
          <w:szCs w:val="18"/>
          <w:highlight w:val="none"/>
        </w:rPr>
      </w:pPr>
    </w:p>
    <w:p>
      <w:pPr>
        <w:spacing w:line="0" w:lineRule="atLeast"/>
        <w:jc w:val="center"/>
        <w:rPr>
          <w:rFonts w:cs="宋体" w:asciiTheme="minorEastAsia" w:hAnsiTheme="minorEastAsia" w:eastAsiaTheme="minorEastAsia"/>
          <w:iCs/>
          <w:color w:val="auto"/>
          <w:highlight w:val="none"/>
        </w:rPr>
      </w:pPr>
      <w:r>
        <w:rPr>
          <w:rFonts w:cs="宋体" w:asciiTheme="minorEastAsia" w:hAnsiTheme="minorEastAsia" w:eastAsiaTheme="minorEastAsia"/>
          <w:color w:val="auto"/>
          <w:sz w:val="72"/>
          <w:highlight w:val="none"/>
        </w:rPr>
        <w:drawing>
          <wp:inline distT="0" distB="0" distL="0" distR="0">
            <wp:extent cx="2419350" cy="904875"/>
            <wp:effectExtent l="0" t="0" r="0" b="0"/>
            <wp:docPr id="2" name="图片 2" descr="201602_百通VI-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1602_百通VI-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419350" cy="904875"/>
                    </a:xfrm>
                    <a:prstGeom prst="rect">
                      <a:avLst/>
                    </a:prstGeom>
                    <a:noFill/>
                    <a:ln>
                      <a:noFill/>
                    </a:ln>
                  </pic:spPr>
                </pic:pic>
              </a:graphicData>
            </a:graphic>
          </wp:inline>
        </w:drawing>
      </w:r>
    </w:p>
    <w:p>
      <w:pPr>
        <w:jc w:val="center"/>
        <w:rPr>
          <w:rFonts w:cs="宋体" w:asciiTheme="minorEastAsia" w:hAnsiTheme="minorEastAsia" w:eastAsiaTheme="minorEastAsia"/>
          <w:iCs/>
          <w:color w:val="auto"/>
          <w:highlight w:val="none"/>
        </w:rPr>
      </w:pPr>
    </w:p>
    <w:p>
      <w:pPr>
        <w:spacing w:before="120" w:after="120" w:line="1000" w:lineRule="exact"/>
        <w:jc w:val="center"/>
        <w:rPr>
          <w:rFonts w:hint="eastAsia" w:ascii="黑体" w:hAnsi="黑体" w:eastAsia="黑体" w:cs="宋体"/>
          <w:b/>
          <w:color w:val="auto"/>
          <w:sz w:val="72"/>
          <w:szCs w:val="72"/>
          <w:highlight w:val="none"/>
          <w:lang w:val="en-US" w:eastAsia="zh-CN"/>
        </w:rPr>
      </w:pPr>
      <w:bookmarkStart w:id="0" w:name="招标文件封面"/>
      <w:bookmarkStart w:id="1" w:name="_Toc23199"/>
      <w:bookmarkStart w:id="2" w:name="_Toc24358"/>
      <w:r>
        <w:rPr>
          <w:rFonts w:hint="eastAsia" w:ascii="黑体" w:hAnsi="黑体" w:eastAsia="黑体" w:cs="宋体"/>
          <w:b/>
          <w:color w:val="auto"/>
          <w:sz w:val="72"/>
          <w:szCs w:val="72"/>
          <w:highlight w:val="none"/>
          <w:lang w:val="en-US" w:eastAsia="zh-CN"/>
        </w:rPr>
        <w:t>建设</w:t>
      </w:r>
      <w:r>
        <w:rPr>
          <w:rFonts w:hint="eastAsia" w:ascii="黑体" w:hAnsi="黑体" w:eastAsia="黑体" w:cs="宋体"/>
          <w:b/>
          <w:color w:val="auto"/>
          <w:sz w:val="72"/>
          <w:szCs w:val="72"/>
          <w:highlight w:val="none"/>
        </w:rPr>
        <w:t>工程</w:t>
      </w:r>
      <w:r>
        <w:rPr>
          <w:rFonts w:hint="eastAsia" w:ascii="黑体" w:hAnsi="黑体" w:eastAsia="黑体" w:cs="宋体"/>
          <w:b/>
          <w:color w:val="auto"/>
          <w:sz w:val="72"/>
          <w:szCs w:val="72"/>
          <w:highlight w:val="none"/>
          <w:lang w:val="en-US" w:eastAsia="zh-CN"/>
        </w:rPr>
        <w:t>施工</w:t>
      </w:r>
    </w:p>
    <w:p>
      <w:pPr>
        <w:spacing w:line="1000" w:lineRule="exact"/>
        <w:jc w:val="center"/>
        <w:rPr>
          <w:rFonts w:ascii="黑体" w:hAnsi="黑体" w:eastAsia="黑体" w:cs="宋体"/>
          <w:b/>
          <w:color w:val="auto"/>
          <w:sz w:val="72"/>
          <w:szCs w:val="72"/>
          <w:highlight w:val="none"/>
        </w:rPr>
      </w:pPr>
      <w:r>
        <w:rPr>
          <w:rFonts w:hint="eastAsia" w:ascii="黑体" w:hAnsi="黑体" w:eastAsia="黑体" w:cs="宋体"/>
          <w:b/>
          <w:color w:val="auto"/>
          <w:sz w:val="72"/>
          <w:szCs w:val="72"/>
          <w:highlight w:val="none"/>
        </w:rPr>
        <w:t>招标文件</w:t>
      </w:r>
      <w:bookmarkEnd w:id="0"/>
      <w:bookmarkEnd w:id="1"/>
      <w:bookmarkEnd w:id="2"/>
    </w:p>
    <w:p>
      <w:pPr>
        <w:spacing w:line="800" w:lineRule="exact"/>
        <w:jc w:val="center"/>
        <w:rPr>
          <w:rFonts w:asciiTheme="minorEastAsia" w:hAnsiTheme="minorEastAsia" w:eastAsiaTheme="minorEastAsia"/>
          <w:color w:val="auto"/>
          <w:sz w:val="32"/>
          <w:szCs w:val="32"/>
          <w:highlight w:val="none"/>
        </w:rPr>
      </w:pPr>
    </w:p>
    <w:p>
      <w:pPr>
        <w:tabs>
          <w:tab w:val="left" w:pos="9498"/>
        </w:tabs>
        <w:spacing w:before="120" w:after="120" w:line="600" w:lineRule="exact"/>
        <w:ind w:right="-34" w:rightChars="-16"/>
        <w:jc w:val="center"/>
        <w:rPr>
          <w:rFonts w:ascii="黑体" w:hAnsi="黑体" w:eastAsia="黑体"/>
          <w:b/>
          <w:color w:val="auto"/>
          <w:spacing w:val="20"/>
          <w:sz w:val="32"/>
          <w:szCs w:val="32"/>
          <w:highlight w:val="none"/>
        </w:rPr>
      </w:pPr>
      <w:r>
        <w:rPr>
          <w:rFonts w:hint="eastAsia" w:ascii="黑体" w:hAnsi="黑体" w:eastAsia="黑体"/>
          <w:b/>
          <w:color w:val="auto"/>
          <w:spacing w:val="20"/>
          <w:sz w:val="32"/>
          <w:szCs w:val="32"/>
          <w:highlight w:val="none"/>
          <w:lang w:eastAsia="zh-CN"/>
        </w:rPr>
        <w:t>上海市养志康复医院（上海市阳光康复中心）门诊、康复治疗场地调整装修</w:t>
      </w:r>
    </w:p>
    <w:p>
      <w:pPr>
        <w:spacing w:line="360" w:lineRule="auto"/>
        <w:jc w:val="center"/>
        <w:rPr>
          <w:rFonts w:cs="宋体" w:asciiTheme="minorEastAsia" w:hAnsiTheme="minorEastAsia" w:eastAsiaTheme="minorEastAsia"/>
          <w:b/>
          <w:color w:val="auto"/>
          <w:sz w:val="32"/>
          <w:szCs w:val="32"/>
          <w:highlight w:val="none"/>
        </w:rPr>
      </w:pPr>
    </w:p>
    <w:p>
      <w:pPr>
        <w:tabs>
          <w:tab w:val="left" w:pos="2314"/>
        </w:tabs>
        <w:spacing w:line="180" w:lineRule="atLeast"/>
        <w:ind w:firstLine="2850" w:firstLineChars="950"/>
        <w:rPr>
          <w:rFonts w:cs="宋体" w:asciiTheme="minorEastAsia" w:hAnsiTheme="minorEastAsia" w:eastAsiaTheme="minorEastAsia"/>
          <w:color w:val="auto"/>
          <w:sz w:val="30"/>
          <w:szCs w:val="30"/>
          <w:highlight w:val="none"/>
        </w:rPr>
      </w:pPr>
    </w:p>
    <w:p>
      <w:pPr>
        <w:spacing w:line="300" w:lineRule="auto"/>
        <w:ind w:firstLine="1928" w:firstLineChars="600"/>
        <w:rPr>
          <w:rFonts w:cs="宋体" w:asciiTheme="minorEastAsia" w:hAnsiTheme="minorEastAsia" w:eastAsiaTheme="minorEastAsia"/>
          <w:b/>
          <w:color w:val="auto"/>
          <w:sz w:val="32"/>
          <w:szCs w:val="32"/>
          <w:highlight w:val="none"/>
        </w:rPr>
      </w:pPr>
    </w:p>
    <w:p>
      <w:pPr>
        <w:spacing w:line="300" w:lineRule="auto"/>
        <w:ind w:firstLine="1928" w:firstLineChars="600"/>
        <w:rPr>
          <w:rFonts w:cs="宋体" w:asciiTheme="minorEastAsia" w:hAnsiTheme="minorEastAsia" w:eastAsiaTheme="minorEastAsia"/>
          <w:b/>
          <w:color w:val="auto"/>
          <w:sz w:val="32"/>
          <w:szCs w:val="32"/>
          <w:highlight w:val="none"/>
        </w:rPr>
      </w:pPr>
    </w:p>
    <w:p>
      <w:pPr>
        <w:spacing w:line="300" w:lineRule="auto"/>
        <w:rPr>
          <w:rFonts w:cs="宋体" w:asciiTheme="minorEastAsia" w:hAnsiTheme="minorEastAsia" w:eastAsiaTheme="minorEastAsia"/>
          <w:b/>
          <w:color w:val="auto"/>
          <w:sz w:val="32"/>
          <w:szCs w:val="32"/>
          <w:highlight w:val="none"/>
        </w:rPr>
      </w:pPr>
    </w:p>
    <w:p>
      <w:pPr>
        <w:spacing w:line="300" w:lineRule="auto"/>
        <w:rPr>
          <w:rFonts w:cs="宋体" w:asciiTheme="minorEastAsia" w:hAnsiTheme="minorEastAsia" w:eastAsiaTheme="minorEastAsia"/>
          <w:b/>
          <w:color w:val="auto"/>
          <w:sz w:val="32"/>
          <w:szCs w:val="32"/>
          <w:highlight w:val="none"/>
        </w:rPr>
      </w:pPr>
    </w:p>
    <w:p>
      <w:pPr>
        <w:spacing w:line="300" w:lineRule="auto"/>
        <w:rPr>
          <w:rFonts w:cs="宋体" w:asciiTheme="minorEastAsia" w:hAnsiTheme="minorEastAsia" w:eastAsiaTheme="minorEastAsia"/>
          <w:b/>
          <w:color w:val="auto"/>
          <w:szCs w:val="21"/>
          <w:highlight w:val="none"/>
        </w:rPr>
      </w:pPr>
    </w:p>
    <w:p>
      <w:pPr>
        <w:spacing w:line="580" w:lineRule="exact"/>
        <w:jc w:val="center"/>
        <w:rPr>
          <w:rFonts w:ascii="黑体" w:hAnsi="黑体" w:eastAsia="黑体" w:cs="宋体"/>
          <w:color w:val="auto"/>
          <w:sz w:val="32"/>
          <w:szCs w:val="32"/>
          <w:highlight w:val="none"/>
        </w:rPr>
      </w:pPr>
      <w:r>
        <w:rPr>
          <w:rFonts w:hint="eastAsia" w:ascii="黑体" w:hAnsi="黑体" w:eastAsia="黑体" w:cs="宋体"/>
          <w:color w:val="auto"/>
          <w:sz w:val="32"/>
          <w:szCs w:val="32"/>
          <w:highlight w:val="none"/>
        </w:rPr>
        <w:t>招 标 人</w:t>
      </w:r>
      <w:r>
        <w:rPr>
          <w:rFonts w:hint="eastAsia" w:ascii="黑体" w:hAnsi="黑体" w:eastAsia="黑体" w:cs="宋体"/>
          <w:color w:val="auto"/>
          <w:spacing w:val="20"/>
          <w:sz w:val="32"/>
          <w:szCs w:val="32"/>
          <w:highlight w:val="none"/>
        </w:rPr>
        <w:t>：</w:t>
      </w:r>
      <w:r>
        <w:rPr>
          <w:rFonts w:hint="eastAsia" w:ascii="黑体" w:hAnsi="宋体" w:eastAsia="黑体" w:cs="宋体"/>
          <w:color w:val="auto"/>
          <w:sz w:val="32"/>
          <w:szCs w:val="32"/>
          <w:highlight w:val="none"/>
        </w:rPr>
        <w:t>上海市养志康复医院（上海市阳光康复中心）</w:t>
      </w:r>
    </w:p>
    <w:p>
      <w:pPr>
        <w:spacing w:line="580" w:lineRule="exact"/>
        <w:jc w:val="center"/>
        <w:rPr>
          <w:rFonts w:ascii="黑体" w:hAnsi="黑体" w:eastAsia="黑体" w:cs="宋体"/>
          <w:color w:val="auto"/>
          <w:spacing w:val="20"/>
          <w:sz w:val="32"/>
          <w:szCs w:val="32"/>
          <w:highlight w:val="none"/>
        </w:rPr>
      </w:pPr>
      <w:r>
        <w:rPr>
          <w:rFonts w:hint="eastAsia" w:ascii="黑体" w:hAnsi="黑体" w:eastAsia="黑体" w:cs="宋体"/>
          <w:color w:val="auto"/>
          <w:sz w:val="32"/>
          <w:szCs w:val="32"/>
          <w:highlight w:val="none"/>
        </w:rPr>
        <w:t>采购代理机构：上海百通项目管理咨询有限公司</w:t>
      </w:r>
    </w:p>
    <w:p>
      <w:pPr>
        <w:spacing w:line="300" w:lineRule="auto"/>
        <w:jc w:val="center"/>
        <w:rPr>
          <w:rFonts w:ascii="黑体" w:hAnsi="黑体" w:eastAsia="黑体" w:cs="宋体"/>
          <w:color w:val="auto"/>
          <w:sz w:val="32"/>
          <w:highlight w:val="none"/>
        </w:rPr>
      </w:pPr>
    </w:p>
    <w:p>
      <w:pPr>
        <w:spacing w:line="300" w:lineRule="auto"/>
        <w:rPr>
          <w:rFonts w:ascii="黑体" w:hAnsi="黑体" w:eastAsia="黑体" w:cs="宋体"/>
          <w:color w:val="auto"/>
          <w:sz w:val="32"/>
          <w:highlight w:val="none"/>
        </w:rPr>
      </w:pPr>
    </w:p>
    <w:p>
      <w:pPr>
        <w:spacing w:line="300" w:lineRule="auto"/>
        <w:rPr>
          <w:rFonts w:ascii="黑体" w:hAnsi="黑体" w:eastAsia="黑体" w:cs="宋体"/>
          <w:color w:val="auto"/>
          <w:sz w:val="32"/>
          <w:highlight w:val="none"/>
        </w:rPr>
      </w:pPr>
    </w:p>
    <w:p>
      <w:pPr>
        <w:spacing w:line="360" w:lineRule="auto"/>
        <w:jc w:val="center"/>
        <w:rPr>
          <w:rFonts w:cs="宋体" w:asciiTheme="minorEastAsia" w:hAnsiTheme="minorEastAsia" w:eastAsiaTheme="minorEastAsia"/>
          <w:color w:val="auto"/>
          <w:sz w:val="28"/>
          <w:szCs w:val="28"/>
          <w:highlight w:val="none"/>
        </w:rPr>
        <w:sectPr>
          <w:headerReference r:id="rId4" w:type="first"/>
          <w:footerReference r:id="rId7" w:type="first"/>
          <w:headerReference r:id="rId3" w:type="default"/>
          <w:footerReference r:id="rId5" w:type="default"/>
          <w:footerReference r:id="rId6" w:type="even"/>
          <w:pgSz w:w="11906" w:h="16838"/>
          <w:pgMar w:top="936" w:right="1049" w:bottom="1332" w:left="1049" w:header="936" w:footer="1174" w:gutter="284"/>
          <w:pgNumType w:start="0"/>
          <w:cols w:space="720" w:num="1"/>
          <w:titlePg/>
          <w:docGrid w:linePitch="286" w:charSpace="0"/>
        </w:sectPr>
      </w:pPr>
      <w:r>
        <w:rPr>
          <w:rFonts w:hint="eastAsia" w:ascii="黑体" w:hAnsi="黑体" w:eastAsia="黑体" w:cs="宋体"/>
          <w:color w:val="auto"/>
          <w:sz w:val="32"/>
          <w:highlight w:val="none"/>
        </w:rPr>
        <w:t>二〇二〇年</w:t>
      </w:r>
      <w:r>
        <w:rPr>
          <w:rFonts w:hint="eastAsia" w:ascii="黑体" w:hAnsi="黑体" w:eastAsia="黑体" w:cs="宋体"/>
          <w:color w:val="auto"/>
          <w:sz w:val="32"/>
          <w:highlight w:val="none"/>
          <w:lang w:val="en-US" w:eastAsia="zh-CN"/>
        </w:rPr>
        <w:t xml:space="preserve">  </w:t>
      </w:r>
      <w:r>
        <w:rPr>
          <w:rFonts w:hint="eastAsia" w:ascii="黑体" w:hAnsi="黑体" w:eastAsia="黑体" w:cs="宋体"/>
          <w:color w:val="auto"/>
          <w:sz w:val="32"/>
          <w:highlight w:val="none"/>
        </w:rPr>
        <w:t>月</w:t>
      </w:r>
    </w:p>
    <w:p>
      <w:pPr>
        <w:spacing w:line="360" w:lineRule="auto"/>
        <w:jc w:val="right"/>
        <w:rPr>
          <w:rFonts w:ascii="宋体" w:hAnsi="宋体" w:cs="宋体"/>
          <w:color w:val="auto"/>
          <w:szCs w:val="21"/>
          <w:highlight w:val="none"/>
        </w:rPr>
      </w:pPr>
      <w:bookmarkStart w:id="3" w:name="_Toc439173124"/>
      <w:r>
        <w:rPr>
          <w:rFonts w:hint="eastAsia" w:ascii="宋体" w:hAnsi="宋体" w:cs="宋体"/>
          <w:color w:val="auto"/>
          <w:spacing w:val="-20"/>
          <w:szCs w:val="21"/>
          <w:highlight w:val="none"/>
        </w:rPr>
        <w:t>招 标 代 理 机 构 资 质 证 书 编 号 :</w:t>
      </w:r>
      <w:r>
        <w:rPr>
          <w:rFonts w:hint="eastAsia" w:ascii="宋体" w:hAnsi="宋体" w:cs="宋体"/>
          <w:color w:val="auto"/>
          <w:szCs w:val="21"/>
          <w:highlight w:val="none"/>
        </w:rPr>
        <w:t>甲级F131000583</w:t>
      </w:r>
    </w:p>
    <w:p>
      <w:pPr>
        <w:spacing w:line="360" w:lineRule="auto"/>
        <w:rPr>
          <w:rFonts w:ascii="宋体" w:hAnsi="宋体" w:cs="宋体"/>
          <w:color w:val="auto"/>
          <w:sz w:val="24"/>
          <w:highlight w:val="none"/>
        </w:rPr>
      </w:pPr>
    </w:p>
    <w:p>
      <w:pPr>
        <w:tabs>
          <w:tab w:val="left" w:pos="1860"/>
        </w:tabs>
        <w:spacing w:line="360" w:lineRule="auto"/>
        <w:rPr>
          <w:rFonts w:ascii="宋体" w:hAnsi="宋体" w:cs="宋体"/>
          <w:color w:val="auto"/>
          <w:sz w:val="24"/>
          <w:highlight w:val="none"/>
        </w:rPr>
      </w:pPr>
      <w:r>
        <w:rPr>
          <w:rFonts w:ascii="宋体" w:hAnsi="宋体" w:cs="宋体"/>
          <w:color w:val="auto"/>
          <w:sz w:val="24"/>
          <w:highlight w:val="none"/>
        </w:rPr>
        <w:tab/>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tbl>
      <w:tblPr>
        <w:tblStyle w:val="41"/>
        <w:tblpPr w:leftFromText="180" w:rightFromText="180" w:vertAnchor="text" w:horzAnchor="page" w:tblpX="2432" w:tblpY="277"/>
        <w:tblW w:w="1993" w:type="dxa"/>
        <w:tblInd w:w="0" w:type="dxa"/>
        <w:tblLayout w:type="fixed"/>
        <w:tblCellMar>
          <w:top w:w="0" w:type="dxa"/>
          <w:left w:w="108" w:type="dxa"/>
          <w:bottom w:w="0" w:type="dxa"/>
          <w:right w:w="108" w:type="dxa"/>
        </w:tblCellMar>
      </w:tblPr>
      <w:tblGrid>
        <w:gridCol w:w="1993"/>
      </w:tblGrid>
      <w:tr>
        <w:tblPrEx>
          <w:tblCellMar>
            <w:top w:w="0" w:type="dxa"/>
            <w:left w:w="108" w:type="dxa"/>
            <w:bottom w:w="0" w:type="dxa"/>
            <w:right w:w="108" w:type="dxa"/>
          </w:tblCellMar>
        </w:tblPrEx>
        <w:trPr>
          <w:trHeight w:val="1368" w:hRule="atLeast"/>
        </w:trPr>
        <w:tc>
          <w:tcPr>
            <w:tcW w:w="1993" w:type="dxa"/>
            <w:vAlign w:val="center"/>
          </w:tcPr>
          <w:p>
            <w:pPr>
              <w:tabs>
                <w:tab w:val="center" w:pos="3544"/>
                <w:tab w:val="center" w:pos="3686"/>
              </w:tabs>
              <w:spacing w:line="600" w:lineRule="auto"/>
              <w:textAlignment w:val="center"/>
              <w:rPr>
                <w:rFonts w:ascii="宋体" w:hAnsi="宋体" w:cs="宋体"/>
                <w:color w:val="auto"/>
                <w:sz w:val="24"/>
                <w:highlight w:val="none"/>
              </w:rPr>
            </w:pPr>
            <w:r>
              <w:rPr>
                <w:rFonts w:hint="eastAsia" w:ascii="宋体" w:hAnsi="宋体" w:cs="宋体"/>
                <w:color w:val="auto"/>
                <w:sz w:val="24"/>
                <w:highlight w:val="none"/>
              </w:rPr>
              <w:t>审 定 人：</w:t>
            </w:r>
          </w:p>
          <w:p>
            <w:pPr>
              <w:tabs>
                <w:tab w:val="center" w:pos="3544"/>
                <w:tab w:val="center" w:pos="3686"/>
              </w:tabs>
              <w:spacing w:line="600" w:lineRule="auto"/>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1368" w:hRule="atLeast"/>
        </w:trPr>
        <w:tc>
          <w:tcPr>
            <w:tcW w:w="1993" w:type="dxa"/>
            <w:vAlign w:val="center"/>
          </w:tcPr>
          <w:p>
            <w:pPr>
              <w:tabs>
                <w:tab w:val="center" w:pos="3544"/>
                <w:tab w:val="center" w:pos="3686"/>
              </w:tabs>
              <w:spacing w:line="600" w:lineRule="auto"/>
              <w:textAlignment w:val="center"/>
              <w:rPr>
                <w:rFonts w:ascii="宋体" w:hAnsi="宋体" w:cs="宋体"/>
                <w:color w:val="auto"/>
                <w:sz w:val="24"/>
                <w:highlight w:val="none"/>
              </w:rPr>
            </w:pPr>
            <w:r>
              <w:rPr>
                <w:rFonts w:hint="eastAsia" w:ascii="宋体" w:hAnsi="宋体" w:cs="宋体"/>
                <w:color w:val="auto"/>
                <w:sz w:val="24"/>
                <w:highlight w:val="none"/>
              </w:rPr>
              <w:t>审 核 人：</w:t>
            </w:r>
          </w:p>
          <w:p>
            <w:pPr>
              <w:tabs>
                <w:tab w:val="center" w:pos="3544"/>
                <w:tab w:val="center" w:pos="3686"/>
              </w:tabs>
              <w:spacing w:line="600" w:lineRule="auto"/>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1368" w:hRule="atLeast"/>
        </w:trPr>
        <w:tc>
          <w:tcPr>
            <w:tcW w:w="1993" w:type="dxa"/>
            <w:vAlign w:val="center"/>
          </w:tcPr>
          <w:p>
            <w:pPr>
              <w:tabs>
                <w:tab w:val="center" w:pos="3544"/>
                <w:tab w:val="center" w:pos="3686"/>
              </w:tabs>
              <w:spacing w:line="600" w:lineRule="auto"/>
              <w:textAlignment w:val="center"/>
              <w:rPr>
                <w:rFonts w:ascii="宋体" w:hAnsi="宋体" w:cs="宋体"/>
                <w:color w:val="auto"/>
                <w:sz w:val="24"/>
                <w:highlight w:val="none"/>
              </w:rPr>
            </w:pPr>
            <w:r>
              <w:rPr>
                <w:rFonts w:hint="eastAsia" w:ascii="宋体" w:hAnsi="宋体" w:cs="宋体"/>
                <w:color w:val="auto"/>
                <w:sz w:val="24"/>
                <w:highlight w:val="none"/>
              </w:rPr>
              <w:t>项目负责人：</w:t>
            </w:r>
          </w:p>
          <w:p>
            <w:pPr>
              <w:tabs>
                <w:tab w:val="center" w:pos="3544"/>
                <w:tab w:val="center" w:pos="3686"/>
              </w:tabs>
              <w:spacing w:line="600" w:lineRule="auto"/>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1368" w:hRule="atLeast"/>
        </w:trPr>
        <w:tc>
          <w:tcPr>
            <w:tcW w:w="1993" w:type="dxa"/>
            <w:vAlign w:val="center"/>
          </w:tcPr>
          <w:p>
            <w:pPr>
              <w:tabs>
                <w:tab w:val="center" w:pos="3544"/>
                <w:tab w:val="center" w:pos="3686"/>
              </w:tabs>
              <w:spacing w:line="600" w:lineRule="auto"/>
              <w:textAlignment w:val="center"/>
              <w:rPr>
                <w:rFonts w:ascii="宋体" w:hAnsi="宋体" w:cs="宋体"/>
                <w:color w:val="auto"/>
                <w:sz w:val="24"/>
                <w:highlight w:val="none"/>
              </w:rPr>
            </w:pPr>
            <w:r>
              <w:rPr>
                <w:rFonts w:hint="eastAsia" w:ascii="宋体" w:hAnsi="宋体" w:cs="宋体"/>
                <w:color w:val="auto"/>
                <w:sz w:val="24"/>
                <w:highlight w:val="none"/>
              </w:rPr>
              <w:t>编 制 人：</w:t>
            </w:r>
          </w:p>
          <w:p>
            <w:pPr>
              <w:tabs>
                <w:tab w:val="center" w:pos="3544"/>
                <w:tab w:val="center" w:pos="3686"/>
              </w:tabs>
              <w:spacing w:line="600" w:lineRule="auto"/>
              <w:textAlignment w:val="center"/>
              <w:rPr>
                <w:rFonts w:ascii="宋体" w:hAnsi="宋体" w:cs="宋体"/>
                <w:color w:val="auto"/>
                <w:sz w:val="24"/>
                <w:highlight w:val="none"/>
              </w:rPr>
            </w:pPr>
          </w:p>
        </w:tc>
      </w:tr>
      <w:tr>
        <w:tblPrEx>
          <w:tblCellMar>
            <w:top w:w="0" w:type="dxa"/>
            <w:left w:w="108" w:type="dxa"/>
            <w:bottom w:w="0" w:type="dxa"/>
            <w:right w:w="108" w:type="dxa"/>
          </w:tblCellMar>
        </w:tblPrEx>
        <w:trPr>
          <w:trHeight w:val="1368" w:hRule="atLeast"/>
        </w:trPr>
        <w:tc>
          <w:tcPr>
            <w:tcW w:w="1993" w:type="dxa"/>
            <w:vAlign w:val="center"/>
          </w:tcPr>
          <w:p>
            <w:pPr>
              <w:tabs>
                <w:tab w:val="center" w:pos="3544"/>
                <w:tab w:val="center" w:pos="3686"/>
              </w:tabs>
              <w:spacing w:line="600" w:lineRule="auto"/>
              <w:textAlignment w:val="center"/>
              <w:rPr>
                <w:rFonts w:ascii="宋体" w:hAnsi="宋体" w:cs="宋体"/>
                <w:color w:val="auto"/>
                <w:sz w:val="24"/>
                <w:highlight w:val="none"/>
              </w:rPr>
            </w:pPr>
            <w:r>
              <w:rPr>
                <w:rFonts w:hint="eastAsia" w:ascii="宋体" w:hAnsi="宋体" w:cs="宋体"/>
                <w:color w:val="auto"/>
                <w:sz w:val="24"/>
                <w:highlight w:val="none"/>
              </w:rPr>
              <w:t>核 稿 人：</w:t>
            </w:r>
          </w:p>
          <w:p>
            <w:pPr>
              <w:tabs>
                <w:tab w:val="center" w:pos="3544"/>
                <w:tab w:val="center" w:pos="3686"/>
              </w:tabs>
              <w:spacing w:line="600" w:lineRule="auto"/>
              <w:textAlignment w:val="center"/>
              <w:rPr>
                <w:rFonts w:ascii="宋体" w:hAnsi="宋体" w:cs="宋体"/>
                <w:color w:val="auto"/>
                <w:sz w:val="24"/>
                <w:highlight w:val="none"/>
              </w:rPr>
            </w:pPr>
          </w:p>
        </w:tc>
      </w:tr>
    </w:tbl>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tabs>
          <w:tab w:val="center" w:pos="3544"/>
          <w:tab w:val="center" w:pos="3686"/>
        </w:tabs>
        <w:spacing w:line="600" w:lineRule="auto"/>
        <w:textAlignment w:val="center"/>
        <w:rPr>
          <w:rFonts w:ascii="宋体" w:hAnsi="宋体" w:cs="宋体"/>
          <w:color w:val="auto"/>
          <w:sz w:val="28"/>
          <w:szCs w:val="28"/>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tabs>
          <w:tab w:val="left" w:pos="5608"/>
        </w:tabs>
        <w:rPr>
          <w:rFonts w:ascii="宋体" w:hAnsi="宋体" w:cs="宋体"/>
          <w:color w:val="auto"/>
          <w:sz w:val="24"/>
          <w:highlight w:val="none"/>
        </w:rPr>
      </w:pPr>
      <w:r>
        <w:rPr>
          <w:rFonts w:ascii="宋体" w:hAnsi="宋体" w:cs="宋体"/>
          <w:color w:val="auto"/>
          <w:sz w:val="24"/>
          <w:highlight w:val="none"/>
        </w:rPr>
        <w:tab/>
      </w:r>
    </w:p>
    <w:p>
      <w:pPr>
        <w:tabs>
          <w:tab w:val="left" w:pos="5608"/>
        </w:tabs>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widowControl/>
        <w:jc w:val="left"/>
        <w:rPr>
          <w:rFonts w:ascii="宋体" w:hAnsi="宋体"/>
          <w:color w:val="auto"/>
          <w:highlight w:val="none"/>
        </w:rPr>
      </w:pPr>
    </w:p>
    <w:bookmarkEnd w:id="3"/>
    <w:p>
      <w:pPr>
        <w:widowControl/>
        <w:jc w:val="left"/>
        <w:rPr>
          <w:rFonts w:ascii="宋体" w:hAnsi="宋体" w:cs="宋体"/>
          <w:color w:val="auto"/>
          <w:szCs w:val="21"/>
          <w:highlight w:val="none"/>
        </w:rPr>
        <w:sectPr>
          <w:headerReference r:id="rId8" w:type="default"/>
          <w:footerReference r:id="rId9" w:type="default"/>
          <w:footerReference r:id="rId10" w:type="even"/>
          <w:pgSz w:w="11906" w:h="16838"/>
          <w:pgMar w:top="936" w:right="1049" w:bottom="1332" w:left="1049" w:header="680" w:footer="243" w:gutter="0"/>
          <w:pgNumType w:start="1"/>
          <w:cols w:space="720" w:num="1"/>
          <w:docGrid w:linePitch="312" w:charSpace="0"/>
        </w:sectPr>
      </w:pPr>
    </w:p>
    <w:p>
      <w:pPr>
        <w:pStyle w:val="30"/>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目录</w:t>
      </w:r>
    </w:p>
    <w:p>
      <w:pPr>
        <w:pStyle w:val="30"/>
        <w:tabs>
          <w:tab w:val="right" w:leader="dot" w:pos="8494"/>
        </w:tabs>
        <w:spacing w:line="360" w:lineRule="auto"/>
        <w:rPr>
          <w:rFonts w:ascii="黑体" w:hAnsi="黑体" w:eastAsia="黑体" w:cstheme="minorBidi"/>
          <w:b w:val="0"/>
          <w:bCs w:val="0"/>
          <w:caps w:val="0"/>
          <w:color w:val="auto"/>
          <w:sz w:val="28"/>
          <w:szCs w:val="32"/>
          <w:highlight w:val="none"/>
        </w:rPr>
      </w:pPr>
      <w:r>
        <w:rPr>
          <w:rFonts w:ascii="黑体" w:hAnsi="黑体" w:eastAsia="黑体" w:cstheme="minorEastAsia"/>
          <w:bCs w:val="0"/>
          <w:caps w:val="0"/>
          <w:color w:val="auto"/>
          <w:szCs w:val="21"/>
          <w:highlight w:val="none"/>
        </w:rPr>
        <w:fldChar w:fldCharType="begin"/>
      </w:r>
      <w:r>
        <w:rPr>
          <w:rFonts w:ascii="黑体" w:hAnsi="黑体" w:eastAsia="黑体" w:cstheme="minorEastAsia"/>
          <w:bCs w:val="0"/>
          <w:caps w:val="0"/>
          <w:color w:val="auto"/>
          <w:szCs w:val="21"/>
          <w:highlight w:val="none"/>
        </w:rPr>
        <w:instrText xml:space="preserve"> </w:instrText>
      </w:r>
      <w:r>
        <w:rPr>
          <w:rFonts w:hint="eastAsia" w:ascii="黑体" w:hAnsi="黑体" w:eastAsia="黑体" w:cstheme="minorEastAsia"/>
          <w:bCs w:val="0"/>
          <w:caps w:val="0"/>
          <w:color w:val="auto"/>
          <w:szCs w:val="21"/>
          <w:highlight w:val="none"/>
        </w:rPr>
        <w:instrText xml:space="preserve">TOC \o "1-1" \h \z \u</w:instrText>
      </w:r>
      <w:r>
        <w:rPr>
          <w:rFonts w:ascii="黑体" w:hAnsi="黑体" w:eastAsia="黑体" w:cstheme="minorEastAsia"/>
          <w:bCs w:val="0"/>
          <w:caps w:val="0"/>
          <w:color w:val="auto"/>
          <w:szCs w:val="21"/>
          <w:highlight w:val="none"/>
        </w:rPr>
        <w:instrText xml:space="preserve"> </w:instrText>
      </w:r>
      <w:r>
        <w:rPr>
          <w:rFonts w:ascii="黑体" w:hAnsi="黑体" w:eastAsia="黑体" w:cstheme="minorEastAsia"/>
          <w:bCs w:val="0"/>
          <w:caps w:val="0"/>
          <w:color w:val="auto"/>
          <w:szCs w:val="21"/>
          <w:highlight w:val="none"/>
        </w:rPr>
        <w:fldChar w:fldCharType="separate"/>
      </w:r>
      <w:r>
        <w:rPr>
          <w:color w:val="auto"/>
          <w:highlight w:val="none"/>
        </w:rPr>
        <w:fldChar w:fldCharType="begin"/>
      </w:r>
      <w:r>
        <w:rPr>
          <w:color w:val="auto"/>
          <w:highlight w:val="none"/>
        </w:rPr>
        <w:instrText xml:space="preserve"> HYPERLINK \l "_Toc17882828" </w:instrText>
      </w:r>
      <w:r>
        <w:rPr>
          <w:color w:val="auto"/>
          <w:highlight w:val="none"/>
        </w:rPr>
        <w:fldChar w:fldCharType="separate"/>
      </w:r>
      <w:r>
        <w:rPr>
          <w:rStyle w:val="48"/>
          <w:rFonts w:ascii="黑体" w:hAnsi="黑体" w:eastAsia="黑体"/>
          <w:color w:val="auto"/>
          <w:sz w:val="24"/>
          <w:szCs w:val="24"/>
          <w:highlight w:val="none"/>
          <w:lang w:val="zh-CN"/>
        </w:rPr>
        <w:t>第一章 招标公告</w:t>
      </w:r>
      <w:r>
        <w:rPr>
          <w:rFonts w:ascii="黑体" w:hAnsi="黑体" w:eastAsia="黑体"/>
          <w:color w:val="auto"/>
          <w:sz w:val="24"/>
          <w:szCs w:val="24"/>
          <w:highlight w:val="none"/>
        </w:rPr>
        <w:tab/>
      </w:r>
      <w:r>
        <w:rPr>
          <w:rFonts w:ascii="黑体" w:hAnsi="黑体" w:eastAsia="黑体"/>
          <w:color w:val="auto"/>
          <w:sz w:val="24"/>
          <w:szCs w:val="24"/>
          <w:highlight w:val="none"/>
        </w:rPr>
        <w:fldChar w:fldCharType="begin"/>
      </w:r>
      <w:r>
        <w:rPr>
          <w:rFonts w:ascii="黑体" w:hAnsi="黑体" w:eastAsia="黑体"/>
          <w:color w:val="auto"/>
          <w:sz w:val="24"/>
          <w:szCs w:val="24"/>
          <w:highlight w:val="none"/>
        </w:rPr>
        <w:instrText xml:space="preserve"> PAGEREF _Toc17882828 \h </w:instrText>
      </w:r>
      <w:r>
        <w:rPr>
          <w:rFonts w:ascii="黑体" w:hAnsi="黑体" w:eastAsia="黑体"/>
          <w:color w:val="auto"/>
          <w:sz w:val="24"/>
          <w:szCs w:val="24"/>
          <w:highlight w:val="none"/>
        </w:rPr>
        <w:fldChar w:fldCharType="separate"/>
      </w:r>
      <w:r>
        <w:rPr>
          <w:rFonts w:ascii="黑体" w:hAnsi="黑体" w:eastAsia="黑体"/>
          <w:color w:val="auto"/>
          <w:sz w:val="24"/>
          <w:szCs w:val="24"/>
          <w:highlight w:val="none"/>
        </w:rPr>
        <w:t>1</w:t>
      </w:r>
      <w:r>
        <w:rPr>
          <w:rFonts w:ascii="黑体" w:hAnsi="黑体" w:eastAsia="黑体"/>
          <w:color w:val="auto"/>
          <w:sz w:val="24"/>
          <w:szCs w:val="24"/>
          <w:highlight w:val="none"/>
        </w:rPr>
        <w:fldChar w:fldCharType="end"/>
      </w:r>
      <w:r>
        <w:rPr>
          <w:rFonts w:ascii="黑体" w:hAnsi="黑体" w:eastAsia="黑体"/>
          <w:color w:val="auto"/>
          <w:sz w:val="24"/>
          <w:szCs w:val="24"/>
          <w:highlight w:val="none"/>
        </w:rPr>
        <w:fldChar w:fldCharType="end"/>
      </w:r>
    </w:p>
    <w:p>
      <w:pPr>
        <w:pStyle w:val="30"/>
        <w:tabs>
          <w:tab w:val="right" w:leader="dot" w:pos="8494"/>
        </w:tabs>
        <w:spacing w:line="360" w:lineRule="auto"/>
        <w:rPr>
          <w:rFonts w:ascii="黑体" w:hAnsi="黑体" w:eastAsia="黑体" w:cstheme="minorBidi"/>
          <w:b w:val="0"/>
          <w:bCs w:val="0"/>
          <w:caps w:val="0"/>
          <w:color w:val="auto"/>
          <w:sz w:val="28"/>
          <w:szCs w:val="32"/>
          <w:highlight w:val="none"/>
        </w:rPr>
      </w:pPr>
      <w:r>
        <w:rPr>
          <w:color w:val="auto"/>
          <w:highlight w:val="none"/>
        </w:rPr>
        <w:fldChar w:fldCharType="begin"/>
      </w:r>
      <w:r>
        <w:rPr>
          <w:color w:val="auto"/>
          <w:highlight w:val="none"/>
        </w:rPr>
        <w:instrText xml:space="preserve"> HYPERLINK \l "_Toc17882829" </w:instrText>
      </w:r>
      <w:r>
        <w:rPr>
          <w:color w:val="auto"/>
          <w:highlight w:val="none"/>
        </w:rPr>
        <w:fldChar w:fldCharType="separate"/>
      </w:r>
      <w:r>
        <w:rPr>
          <w:rStyle w:val="48"/>
          <w:rFonts w:ascii="黑体" w:hAnsi="黑体" w:eastAsia="黑体"/>
          <w:color w:val="auto"/>
          <w:sz w:val="24"/>
          <w:szCs w:val="24"/>
          <w:highlight w:val="none"/>
          <w:lang w:val="zh-CN"/>
        </w:rPr>
        <w:t>第二章  投标人须知</w:t>
      </w:r>
      <w:r>
        <w:rPr>
          <w:rFonts w:ascii="黑体" w:hAnsi="黑体" w:eastAsia="黑体"/>
          <w:color w:val="auto"/>
          <w:sz w:val="24"/>
          <w:szCs w:val="24"/>
          <w:highlight w:val="none"/>
        </w:rPr>
        <w:tab/>
      </w:r>
      <w:r>
        <w:rPr>
          <w:rFonts w:ascii="黑体" w:hAnsi="黑体" w:eastAsia="黑体"/>
          <w:color w:val="auto"/>
          <w:sz w:val="24"/>
          <w:szCs w:val="24"/>
          <w:highlight w:val="none"/>
        </w:rPr>
        <w:fldChar w:fldCharType="begin"/>
      </w:r>
      <w:r>
        <w:rPr>
          <w:rFonts w:ascii="黑体" w:hAnsi="黑体" w:eastAsia="黑体"/>
          <w:color w:val="auto"/>
          <w:sz w:val="24"/>
          <w:szCs w:val="24"/>
          <w:highlight w:val="none"/>
        </w:rPr>
        <w:instrText xml:space="preserve"> PAGEREF _Toc17882829 \h </w:instrText>
      </w:r>
      <w:r>
        <w:rPr>
          <w:rFonts w:ascii="黑体" w:hAnsi="黑体" w:eastAsia="黑体"/>
          <w:color w:val="auto"/>
          <w:sz w:val="24"/>
          <w:szCs w:val="24"/>
          <w:highlight w:val="none"/>
        </w:rPr>
        <w:fldChar w:fldCharType="separate"/>
      </w:r>
      <w:r>
        <w:rPr>
          <w:rFonts w:ascii="黑体" w:hAnsi="黑体" w:eastAsia="黑体"/>
          <w:color w:val="auto"/>
          <w:sz w:val="24"/>
          <w:szCs w:val="24"/>
          <w:highlight w:val="none"/>
        </w:rPr>
        <w:t>5</w:t>
      </w:r>
      <w:r>
        <w:rPr>
          <w:rFonts w:ascii="黑体" w:hAnsi="黑体" w:eastAsia="黑体"/>
          <w:color w:val="auto"/>
          <w:sz w:val="24"/>
          <w:szCs w:val="24"/>
          <w:highlight w:val="none"/>
        </w:rPr>
        <w:fldChar w:fldCharType="end"/>
      </w:r>
      <w:r>
        <w:rPr>
          <w:rFonts w:ascii="黑体" w:hAnsi="黑体" w:eastAsia="黑体"/>
          <w:color w:val="auto"/>
          <w:sz w:val="24"/>
          <w:szCs w:val="24"/>
          <w:highlight w:val="none"/>
        </w:rPr>
        <w:fldChar w:fldCharType="end"/>
      </w:r>
    </w:p>
    <w:p>
      <w:pPr>
        <w:pStyle w:val="30"/>
        <w:tabs>
          <w:tab w:val="right" w:leader="dot" w:pos="8494"/>
        </w:tabs>
        <w:spacing w:line="360" w:lineRule="auto"/>
        <w:rPr>
          <w:rFonts w:ascii="黑体" w:hAnsi="黑体" w:eastAsia="黑体" w:cstheme="minorBidi"/>
          <w:b w:val="0"/>
          <w:bCs w:val="0"/>
          <w:caps w:val="0"/>
          <w:color w:val="auto"/>
          <w:sz w:val="28"/>
          <w:szCs w:val="32"/>
          <w:highlight w:val="none"/>
        </w:rPr>
      </w:pPr>
      <w:r>
        <w:rPr>
          <w:color w:val="auto"/>
          <w:highlight w:val="none"/>
        </w:rPr>
        <w:fldChar w:fldCharType="begin"/>
      </w:r>
      <w:r>
        <w:rPr>
          <w:color w:val="auto"/>
          <w:highlight w:val="none"/>
        </w:rPr>
        <w:instrText xml:space="preserve"> HYPERLINK \l "_Toc17882830" </w:instrText>
      </w:r>
      <w:r>
        <w:rPr>
          <w:color w:val="auto"/>
          <w:highlight w:val="none"/>
        </w:rPr>
        <w:fldChar w:fldCharType="separate"/>
      </w:r>
      <w:r>
        <w:rPr>
          <w:rStyle w:val="48"/>
          <w:rFonts w:ascii="黑体" w:hAnsi="黑体" w:eastAsia="黑体"/>
          <w:color w:val="auto"/>
          <w:sz w:val="24"/>
          <w:szCs w:val="24"/>
          <w:highlight w:val="none"/>
          <w:lang w:val="zh-CN"/>
        </w:rPr>
        <w:t>第三章  评标办法</w:t>
      </w:r>
      <w:r>
        <w:rPr>
          <w:rFonts w:ascii="黑体" w:hAnsi="黑体" w:eastAsia="黑体"/>
          <w:color w:val="auto"/>
          <w:sz w:val="24"/>
          <w:szCs w:val="24"/>
          <w:highlight w:val="none"/>
        </w:rPr>
        <w:tab/>
      </w:r>
      <w:r>
        <w:rPr>
          <w:rFonts w:ascii="黑体" w:hAnsi="黑体" w:eastAsia="黑体"/>
          <w:color w:val="auto"/>
          <w:sz w:val="24"/>
          <w:szCs w:val="24"/>
          <w:highlight w:val="none"/>
        </w:rPr>
        <w:fldChar w:fldCharType="begin"/>
      </w:r>
      <w:r>
        <w:rPr>
          <w:rFonts w:ascii="黑体" w:hAnsi="黑体" w:eastAsia="黑体"/>
          <w:color w:val="auto"/>
          <w:sz w:val="24"/>
          <w:szCs w:val="24"/>
          <w:highlight w:val="none"/>
        </w:rPr>
        <w:instrText xml:space="preserve"> PAGEREF _Toc17882830 \h </w:instrText>
      </w:r>
      <w:r>
        <w:rPr>
          <w:rFonts w:ascii="黑体" w:hAnsi="黑体" w:eastAsia="黑体"/>
          <w:color w:val="auto"/>
          <w:sz w:val="24"/>
          <w:szCs w:val="24"/>
          <w:highlight w:val="none"/>
        </w:rPr>
        <w:fldChar w:fldCharType="separate"/>
      </w:r>
      <w:r>
        <w:rPr>
          <w:rFonts w:ascii="黑体" w:hAnsi="黑体" w:eastAsia="黑体"/>
          <w:color w:val="auto"/>
          <w:sz w:val="24"/>
          <w:szCs w:val="24"/>
          <w:highlight w:val="none"/>
        </w:rPr>
        <w:t>30</w:t>
      </w:r>
      <w:r>
        <w:rPr>
          <w:rFonts w:ascii="黑体" w:hAnsi="黑体" w:eastAsia="黑体"/>
          <w:color w:val="auto"/>
          <w:sz w:val="24"/>
          <w:szCs w:val="24"/>
          <w:highlight w:val="none"/>
        </w:rPr>
        <w:fldChar w:fldCharType="end"/>
      </w:r>
      <w:r>
        <w:rPr>
          <w:rFonts w:ascii="黑体" w:hAnsi="黑体" w:eastAsia="黑体"/>
          <w:color w:val="auto"/>
          <w:sz w:val="24"/>
          <w:szCs w:val="24"/>
          <w:highlight w:val="none"/>
        </w:rPr>
        <w:fldChar w:fldCharType="end"/>
      </w:r>
    </w:p>
    <w:p>
      <w:pPr>
        <w:pStyle w:val="30"/>
        <w:tabs>
          <w:tab w:val="right" w:leader="dot" w:pos="8494"/>
        </w:tabs>
        <w:spacing w:line="360" w:lineRule="auto"/>
        <w:rPr>
          <w:rFonts w:ascii="黑体" w:hAnsi="黑体" w:eastAsia="黑体" w:cstheme="minorBidi"/>
          <w:b w:val="0"/>
          <w:bCs w:val="0"/>
          <w:caps w:val="0"/>
          <w:color w:val="auto"/>
          <w:sz w:val="28"/>
          <w:szCs w:val="32"/>
          <w:highlight w:val="none"/>
        </w:rPr>
      </w:pPr>
      <w:r>
        <w:rPr>
          <w:color w:val="auto"/>
          <w:highlight w:val="none"/>
        </w:rPr>
        <w:fldChar w:fldCharType="begin"/>
      </w:r>
      <w:r>
        <w:rPr>
          <w:color w:val="auto"/>
          <w:highlight w:val="none"/>
        </w:rPr>
        <w:instrText xml:space="preserve"> HYPERLINK \l "_Toc17882831" </w:instrText>
      </w:r>
      <w:r>
        <w:rPr>
          <w:color w:val="auto"/>
          <w:highlight w:val="none"/>
        </w:rPr>
        <w:fldChar w:fldCharType="separate"/>
      </w:r>
      <w:r>
        <w:rPr>
          <w:rStyle w:val="48"/>
          <w:rFonts w:ascii="黑体" w:hAnsi="黑体" w:eastAsia="黑体"/>
          <w:color w:val="auto"/>
          <w:sz w:val="24"/>
          <w:szCs w:val="24"/>
          <w:highlight w:val="none"/>
        </w:rPr>
        <w:t>第四章 合同条款及格式</w:t>
      </w:r>
      <w:r>
        <w:rPr>
          <w:rFonts w:ascii="黑体" w:hAnsi="黑体" w:eastAsia="黑体"/>
          <w:color w:val="auto"/>
          <w:sz w:val="24"/>
          <w:szCs w:val="24"/>
          <w:highlight w:val="none"/>
        </w:rPr>
        <w:tab/>
      </w:r>
      <w:r>
        <w:rPr>
          <w:rFonts w:ascii="黑体" w:hAnsi="黑体" w:eastAsia="黑体"/>
          <w:color w:val="auto"/>
          <w:sz w:val="24"/>
          <w:szCs w:val="24"/>
          <w:highlight w:val="none"/>
        </w:rPr>
        <w:fldChar w:fldCharType="begin"/>
      </w:r>
      <w:r>
        <w:rPr>
          <w:rFonts w:ascii="黑体" w:hAnsi="黑体" w:eastAsia="黑体"/>
          <w:color w:val="auto"/>
          <w:sz w:val="24"/>
          <w:szCs w:val="24"/>
          <w:highlight w:val="none"/>
        </w:rPr>
        <w:instrText xml:space="preserve"> PAGEREF _Toc17882831 \h </w:instrText>
      </w:r>
      <w:r>
        <w:rPr>
          <w:rFonts w:ascii="黑体" w:hAnsi="黑体" w:eastAsia="黑体"/>
          <w:color w:val="auto"/>
          <w:sz w:val="24"/>
          <w:szCs w:val="24"/>
          <w:highlight w:val="none"/>
        </w:rPr>
        <w:fldChar w:fldCharType="separate"/>
      </w:r>
      <w:r>
        <w:rPr>
          <w:rFonts w:ascii="黑体" w:hAnsi="黑体" w:eastAsia="黑体"/>
          <w:color w:val="auto"/>
          <w:sz w:val="24"/>
          <w:szCs w:val="24"/>
          <w:highlight w:val="none"/>
        </w:rPr>
        <w:t>34</w:t>
      </w:r>
      <w:r>
        <w:rPr>
          <w:rFonts w:ascii="黑体" w:hAnsi="黑体" w:eastAsia="黑体"/>
          <w:color w:val="auto"/>
          <w:sz w:val="24"/>
          <w:szCs w:val="24"/>
          <w:highlight w:val="none"/>
        </w:rPr>
        <w:fldChar w:fldCharType="end"/>
      </w:r>
      <w:r>
        <w:rPr>
          <w:rFonts w:ascii="黑体" w:hAnsi="黑体" w:eastAsia="黑体"/>
          <w:color w:val="auto"/>
          <w:sz w:val="24"/>
          <w:szCs w:val="24"/>
          <w:highlight w:val="none"/>
        </w:rPr>
        <w:fldChar w:fldCharType="end"/>
      </w:r>
    </w:p>
    <w:p>
      <w:pPr>
        <w:pStyle w:val="30"/>
        <w:tabs>
          <w:tab w:val="right" w:leader="dot" w:pos="8494"/>
        </w:tabs>
        <w:spacing w:line="360" w:lineRule="auto"/>
        <w:rPr>
          <w:rFonts w:ascii="黑体" w:hAnsi="黑体" w:eastAsia="黑体" w:cstheme="minorBidi"/>
          <w:b w:val="0"/>
          <w:bCs w:val="0"/>
          <w:caps w:val="0"/>
          <w:color w:val="auto"/>
          <w:sz w:val="28"/>
          <w:szCs w:val="32"/>
          <w:highlight w:val="none"/>
        </w:rPr>
      </w:pPr>
      <w:r>
        <w:rPr>
          <w:color w:val="auto"/>
          <w:highlight w:val="none"/>
        </w:rPr>
        <w:fldChar w:fldCharType="begin"/>
      </w:r>
      <w:r>
        <w:rPr>
          <w:color w:val="auto"/>
          <w:highlight w:val="none"/>
        </w:rPr>
        <w:instrText xml:space="preserve"> HYPERLINK \l "_Toc17882832" </w:instrText>
      </w:r>
      <w:r>
        <w:rPr>
          <w:color w:val="auto"/>
          <w:highlight w:val="none"/>
        </w:rPr>
        <w:fldChar w:fldCharType="separate"/>
      </w:r>
      <w:r>
        <w:rPr>
          <w:rStyle w:val="48"/>
          <w:rFonts w:ascii="黑体" w:hAnsi="黑体" w:eastAsia="黑体"/>
          <w:color w:val="auto"/>
          <w:sz w:val="24"/>
          <w:szCs w:val="24"/>
          <w:highlight w:val="none"/>
        </w:rPr>
        <w:t>第五章  工程量清单</w:t>
      </w:r>
      <w:r>
        <w:rPr>
          <w:rFonts w:ascii="黑体" w:hAnsi="黑体" w:eastAsia="黑体"/>
          <w:color w:val="auto"/>
          <w:sz w:val="24"/>
          <w:szCs w:val="24"/>
          <w:highlight w:val="none"/>
        </w:rPr>
        <w:tab/>
      </w:r>
      <w:r>
        <w:rPr>
          <w:rFonts w:ascii="黑体" w:hAnsi="黑体" w:eastAsia="黑体"/>
          <w:color w:val="auto"/>
          <w:sz w:val="24"/>
          <w:szCs w:val="24"/>
          <w:highlight w:val="none"/>
        </w:rPr>
        <w:fldChar w:fldCharType="begin"/>
      </w:r>
      <w:r>
        <w:rPr>
          <w:rFonts w:ascii="黑体" w:hAnsi="黑体" w:eastAsia="黑体"/>
          <w:color w:val="auto"/>
          <w:sz w:val="24"/>
          <w:szCs w:val="24"/>
          <w:highlight w:val="none"/>
        </w:rPr>
        <w:instrText xml:space="preserve"> PAGEREF _Toc17882832 \h </w:instrText>
      </w:r>
      <w:r>
        <w:rPr>
          <w:rFonts w:ascii="黑体" w:hAnsi="黑体" w:eastAsia="黑体"/>
          <w:color w:val="auto"/>
          <w:sz w:val="24"/>
          <w:szCs w:val="24"/>
          <w:highlight w:val="none"/>
        </w:rPr>
        <w:fldChar w:fldCharType="separate"/>
      </w:r>
      <w:r>
        <w:rPr>
          <w:rFonts w:ascii="黑体" w:hAnsi="黑体" w:eastAsia="黑体"/>
          <w:color w:val="auto"/>
          <w:sz w:val="24"/>
          <w:szCs w:val="24"/>
          <w:highlight w:val="none"/>
        </w:rPr>
        <w:t>56</w:t>
      </w:r>
      <w:r>
        <w:rPr>
          <w:rFonts w:ascii="黑体" w:hAnsi="黑体" w:eastAsia="黑体"/>
          <w:color w:val="auto"/>
          <w:sz w:val="24"/>
          <w:szCs w:val="24"/>
          <w:highlight w:val="none"/>
        </w:rPr>
        <w:fldChar w:fldCharType="end"/>
      </w:r>
      <w:r>
        <w:rPr>
          <w:rFonts w:ascii="黑体" w:hAnsi="黑体" w:eastAsia="黑体"/>
          <w:color w:val="auto"/>
          <w:sz w:val="24"/>
          <w:szCs w:val="24"/>
          <w:highlight w:val="none"/>
        </w:rPr>
        <w:fldChar w:fldCharType="end"/>
      </w:r>
    </w:p>
    <w:p>
      <w:pPr>
        <w:pStyle w:val="30"/>
        <w:tabs>
          <w:tab w:val="right" w:leader="dot" w:pos="8494"/>
        </w:tabs>
        <w:spacing w:line="360" w:lineRule="auto"/>
        <w:rPr>
          <w:rFonts w:ascii="黑体" w:hAnsi="黑体" w:eastAsia="黑体" w:cstheme="minorBidi"/>
          <w:b w:val="0"/>
          <w:bCs w:val="0"/>
          <w:caps w:val="0"/>
          <w:color w:val="auto"/>
          <w:sz w:val="28"/>
          <w:szCs w:val="32"/>
          <w:highlight w:val="none"/>
        </w:rPr>
      </w:pPr>
      <w:r>
        <w:rPr>
          <w:color w:val="auto"/>
          <w:highlight w:val="none"/>
        </w:rPr>
        <w:fldChar w:fldCharType="begin"/>
      </w:r>
      <w:r>
        <w:rPr>
          <w:color w:val="auto"/>
          <w:highlight w:val="none"/>
        </w:rPr>
        <w:instrText xml:space="preserve"> HYPERLINK \l "_Toc17882833" </w:instrText>
      </w:r>
      <w:r>
        <w:rPr>
          <w:color w:val="auto"/>
          <w:highlight w:val="none"/>
        </w:rPr>
        <w:fldChar w:fldCharType="separate"/>
      </w:r>
      <w:r>
        <w:rPr>
          <w:rStyle w:val="48"/>
          <w:rFonts w:ascii="黑体" w:hAnsi="黑体" w:eastAsia="黑体"/>
          <w:color w:val="auto"/>
          <w:sz w:val="24"/>
          <w:szCs w:val="24"/>
          <w:highlight w:val="none"/>
        </w:rPr>
        <w:t>第六章  图  纸</w:t>
      </w:r>
      <w:r>
        <w:rPr>
          <w:rFonts w:ascii="黑体" w:hAnsi="黑体" w:eastAsia="黑体"/>
          <w:color w:val="auto"/>
          <w:sz w:val="24"/>
          <w:szCs w:val="24"/>
          <w:highlight w:val="none"/>
        </w:rPr>
        <w:tab/>
      </w:r>
      <w:r>
        <w:rPr>
          <w:rFonts w:ascii="黑体" w:hAnsi="黑体" w:eastAsia="黑体"/>
          <w:color w:val="auto"/>
          <w:sz w:val="24"/>
          <w:szCs w:val="24"/>
          <w:highlight w:val="none"/>
        </w:rPr>
        <w:fldChar w:fldCharType="begin"/>
      </w:r>
      <w:r>
        <w:rPr>
          <w:rFonts w:ascii="黑体" w:hAnsi="黑体" w:eastAsia="黑体"/>
          <w:color w:val="auto"/>
          <w:sz w:val="24"/>
          <w:szCs w:val="24"/>
          <w:highlight w:val="none"/>
        </w:rPr>
        <w:instrText xml:space="preserve"> PAGEREF _Toc17882833 \h </w:instrText>
      </w:r>
      <w:r>
        <w:rPr>
          <w:rFonts w:ascii="黑体" w:hAnsi="黑体" w:eastAsia="黑体"/>
          <w:color w:val="auto"/>
          <w:sz w:val="24"/>
          <w:szCs w:val="24"/>
          <w:highlight w:val="none"/>
        </w:rPr>
        <w:fldChar w:fldCharType="separate"/>
      </w:r>
      <w:r>
        <w:rPr>
          <w:rFonts w:ascii="黑体" w:hAnsi="黑体" w:eastAsia="黑体"/>
          <w:color w:val="auto"/>
          <w:sz w:val="24"/>
          <w:szCs w:val="24"/>
          <w:highlight w:val="none"/>
        </w:rPr>
        <w:t>64</w:t>
      </w:r>
      <w:r>
        <w:rPr>
          <w:rFonts w:ascii="黑体" w:hAnsi="黑体" w:eastAsia="黑体"/>
          <w:color w:val="auto"/>
          <w:sz w:val="24"/>
          <w:szCs w:val="24"/>
          <w:highlight w:val="none"/>
        </w:rPr>
        <w:fldChar w:fldCharType="end"/>
      </w:r>
      <w:r>
        <w:rPr>
          <w:rFonts w:ascii="黑体" w:hAnsi="黑体" w:eastAsia="黑体"/>
          <w:color w:val="auto"/>
          <w:sz w:val="24"/>
          <w:szCs w:val="24"/>
          <w:highlight w:val="none"/>
        </w:rPr>
        <w:fldChar w:fldCharType="end"/>
      </w:r>
    </w:p>
    <w:p>
      <w:pPr>
        <w:pStyle w:val="30"/>
        <w:tabs>
          <w:tab w:val="right" w:leader="dot" w:pos="8494"/>
        </w:tabs>
        <w:spacing w:line="360" w:lineRule="auto"/>
        <w:rPr>
          <w:rFonts w:ascii="黑体" w:hAnsi="黑体" w:eastAsia="黑体" w:cstheme="minorBidi"/>
          <w:b w:val="0"/>
          <w:bCs w:val="0"/>
          <w:caps w:val="0"/>
          <w:color w:val="auto"/>
          <w:sz w:val="28"/>
          <w:szCs w:val="32"/>
          <w:highlight w:val="none"/>
        </w:rPr>
      </w:pPr>
      <w:r>
        <w:rPr>
          <w:color w:val="auto"/>
          <w:highlight w:val="none"/>
        </w:rPr>
        <w:fldChar w:fldCharType="begin"/>
      </w:r>
      <w:r>
        <w:rPr>
          <w:color w:val="auto"/>
          <w:highlight w:val="none"/>
        </w:rPr>
        <w:instrText xml:space="preserve"> HYPERLINK \l "_Toc17882834" </w:instrText>
      </w:r>
      <w:r>
        <w:rPr>
          <w:color w:val="auto"/>
          <w:highlight w:val="none"/>
        </w:rPr>
        <w:fldChar w:fldCharType="separate"/>
      </w:r>
      <w:r>
        <w:rPr>
          <w:rStyle w:val="48"/>
          <w:rFonts w:ascii="黑体" w:hAnsi="黑体" w:eastAsia="黑体"/>
          <w:color w:val="auto"/>
          <w:sz w:val="24"/>
          <w:szCs w:val="24"/>
          <w:highlight w:val="none"/>
        </w:rPr>
        <w:t>第七章  技术标准和要求</w:t>
      </w:r>
      <w:r>
        <w:rPr>
          <w:rFonts w:ascii="黑体" w:hAnsi="黑体" w:eastAsia="黑体"/>
          <w:color w:val="auto"/>
          <w:sz w:val="24"/>
          <w:szCs w:val="24"/>
          <w:highlight w:val="none"/>
        </w:rPr>
        <w:tab/>
      </w:r>
      <w:r>
        <w:rPr>
          <w:rFonts w:ascii="黑体" w:hAnsi="黑体" w:eastAsia="黑体"/>
          <w:color w:val="auto"/>
          <w:sz w:val="24"/>
          <w:szCs w:val="24"/>
          <w:highlight w:val="none"/>
        </w:rPr>
        <w:fldChar w:fldCharType="begin"/>
      </w:r>
      <w:r>
        <w:rPr>
          <w:rFonts w:ascii="黑体" w:hAnsi="黑体" w:eastAsia="黑体"/>
          <w:color w:val="auto"/>
          <w:sz w:val="24"/>
          <w:szCs w:val="24"/>
          <w:highlight w:val="none"/>
        </w:rPr>
        <w:instrText xml:space="preserve"> PAGEREF _Toc17882834 \h </w:instrText>
      </w:r>
      <w:r>
        <w:rPr>
          <w:rFonts w:ascii="黑体" w:hAnsi="黑体" w:eastAsia="黑体"/>
          <w:color w:val="auto"/>
          <w:sz w:val="24"/>
          <w:szCs w:val="24"/>
          <w:highlight w:val="none"/>
        </w:rPr>
        <w:fldChar w:fldCharType="separate"/>
      </w:r>
      <w:r>
        <w:rPr>
          <w:rFonts w:ascii="黑体" w:hAnsi="黑体" w:eastAsia="黑体"/>
          <w:color w:val="auto"/>
          <w:sz w:val="24"/>
          <w:szCs w:val="24"/>
          <w:highlight w:val="none"/>
        </w:rPr>
        <w:t>66</w:t>
      </w:r>
      <w:r>
        <w:rPr>
          <w:rFonts w:ascii="黑体" w:hAnsi="黑体" w:eastAsia="黑体"/>
          <w:color w:val="auto"/>
          <w:sz w:val="24"/>
          <w:szCs w:val="24"/>
          <w:highlight w:val="none"/>
        </w:rPr>
        <w:fldChar w:fldCharType="end"/>
      </w:r>
      <w:r>
        <w:rPr>
          <w:rFonts w:ascii="黑体" w:hAnsi="黑体" w:eastAsia="黑体"/>
          <w:color w:val="auto"/>
          <w:sz w:val="24"/>
          <w:szCs w:val="24"/>
          <w:highlight w:val="none"/>
        </w:rPr>
        <w:fldChar w:fldCharType="end"/>
      </w:r>
    </w:p>
    <w:p>
      <w:pPr>
        <w:pStyle w:val="30"/>
        <w:tabs>
          <w:tab w:val="right" w:leader="dot" w:pos="8494"/>
        </w:tabs>
        <w:spacing w:line="360" w:lineRule="auto"/>
        <w:rPr>
          <w:rFonts w:ascii="黑体" w:hAnsi="黑体" w:eastAsia="黑体" w:cstheme="minorBidi"/>
          <w:b w:val="0"/>
          <w:bCs w:val="0"/>
          <w:caps w:val="0"/>
          <w:color w:val="auto"/>
          <w:sz w:val="28"/>
          <w:szCs w:val="32"/>
          <w:highlight w:val="none"/>
        </w:rPr>
      </w:pPr>
      <w:r>
        <w:rPr>
          <w:color w:val="auto"/>
          <w:highlight w:val="none"/>
        </w:rPr>
        <w:fldChar w:fldCharType="begin"/>
      </w:r>
      <w:r>
        <w:rPr>
          <w:color w:val="auto"/>
          <w:highlight w:val="none"/>
        </w:rPr>
        <w:instrText xml:space="preserve"> HYPERLINK \l "_Toc17882835" </w:instrText>
      </w:r>
      <w:r>
        <w:rPr>
          <w:color w:val="auto"/>
          <w:highlight w:val="none"/>
        </w:rPr>
        <w:fldChar w:fldCharType="separate"/>
      </w:r>
      <w:r>
        <w:rPr>
          <w:rStyle w:val="48"/>
          <w:rFonts w:ascii="黑体" w:hAnsi="黑体" w:eastAsia="黑体"/>
          <w:color w:val="auto"/>
          <w:sz w:val="24"/>
          <w:szCs w:val="24"/>
          <w:highlight w:val="none"/>
        </w:rPr>
        <w:t>第八章  投标文件格式</w:t>
      </w:r>
      <w:r>
        <w:rPr>
          <w:rFonts w:ascii="黑体" w:hAnsi="黑体" w:eastAsia="黑体"/>
          <w:color w:val="auto"/>
          <w:sz w:val="24"/>
          <w:szCs w:val="24"/>
          <w:highlight w:val="none"/>
        </w:rPr>
        <w:tab/>
      </w:r>
      <w:r>
        <w:rPr>
          <w:rFonts w:ascii="黑体" w:hAnsi="黑体" w:eastAsia="黑体"/>
          <w:color w:val="auto"/>
          <w:sz w:val="24"/>
          <w:szCs w:val="24"/>
          <w:highlight w:val="none"/>
        </w:rPr>
        <w:fldChar w:fldCharType="begin"/>
      </w:r>
      <w:r>
        <w:rPr>
          <w:rFonts w:ascii="黑体" w:hAnsi="黑体" w:eastAsia="黑体"/>
          <w:color w:val="auto"/>
          <w:sz w:val="24"/>
          <w:szCs w:val="24"/>
          <w:highlight w:val="none"/>
        </w:rPr>
        <w:instrText xml:space="preserve"> PAGEREF _Toc17882835 \h </w:instrText>
      </w:r>
      <w:r>
        <w:rPr>
          <w:rFonts w:ascii="黑体" w:hAnsi="黑体" w:eastAsia="黑体"/>
          <w:color w:val="auto"/>
          <w:sz w:val="24"/>
          <w:szCs w:val="24"/>
          <w:highlight w:val="none"/>
        </w:rPr>
        <w:fldChar w:fldCharType="separate"/>
      </w:r>
      <w:r>
        <w:rPr>
          <w:rFonts w:ascii="黑体" w:hAnsi="黑体" w:eastAsia="黑体"/>
          <w:color w:val="auto"/>
          <w:sz w:val="24"/>
          <w:szCs w:val="24"/>
          <w:highlight w:val="none"/>
        </w:rPr>
        <w:t>88</w:t>
      </w:r>
      <w:r>
        <w:rPr>
          <w:rFonts w:ascii="黑体" w:hAnsi="黑体" w:eastAsia="黑体"/>
          <w:color w:val="auto"/>
          <w:sz w:val="24"/>
          <w:szCs w:val="24"/>
          <w:highlight w:val="none"/>
        </w:rPr>
        <w:fldChar w:fldCharType="end"/>
      </w:r>
      <w:r>
        <w:rPr>
          <w:rFonts w:ascii="黑体" w:hAnsi="黑体" w:eastAsia="黑体"/>
          <w:color w:val="auto"/>
          <w:sz w:val="24"/>
          <w:szCs w:val="24"/>
          <w:highlight w:val="none"/>
        </w:rPr>
        <w:fldChar w:fldCharType="end"/>
      </w:r>
    </w:p>
    <w:p>
      <w:pPr>
        <w:spacing w:line="360" w:lineRule="auto"/>
        <w:rPr>
          <w:rFonts w:asciiTheme="minorEastAsia" w:hAnsiTheme="minorEastAsia" w:eastAsiaTheme="minorEastAsia"/>
          <w:bCs/>
          <w:color w:val="auto"/>
          <w:sz w:val="24"/>
          <w:highlight w:val="none"/>
        </w:rPr>
        <w:sectPr>
          <w:headerReference r:id="rId12" w:type="first"/>
          <w:footerReference r:id="rId15" w:type="first"/>
          <w:headerReference r:id="rId11" w:type="default"/>
          <w:footerReference r:id="rId13" w:type="default"/>
          <w:footerReference r:id="rId14" w:type="even"/>
          <w:pgSz w:w="11906" w:h="16838"/>
          <w:pgMar w:top="1588" w:right="1701" w:bottom="1418" w:left="1701" w:header="851" w:footer="851" w:gutter="0"/>
          <w:cols w:space="720" w:num="1"/>
          <w:docGrid w:linePitch="312" w:charSpace="0"/>
        </w:sectPr>
      </w:pPr>
      <w:r>
        <w:rPr>
          <w:rFonts w:ascii="黑体" w:hAnsi="黑体" w:eastAsia="黑体" w:cstheme="minorEastAsia"/>
          <w:bCs/>
          <w:caps/>
          <w:color w:val="auto"/>
          <w:szCs w:val="21"/>
          <w:highlight w:val="none"/>
        </w:rPr>
        <w:fldChar w:fldCharType="end"/>
      </w:r>
    </w:p>
    <w:p>
      <w:pPr>
        <w:spacing w:line="360" w:lineRule="auto"/>
        <w:jc w:val="center"/>
        <w:rPr>
          <w:rFonts w:asciiTheme="minorEastAsia" w:hAnsiTheme="minorEastAsia" w:eastAsiaTheme="minorEastAsia"/>
          <w:color w:val="auto"/>
          <w:sz w:val="32"/>
          <w:highlight w:val="none"/>
        </w:rPr>
      </w:pPr>
    </w:p>
    <w:p>
      <w:pPr>
        <w:spacing w:line="360" w:lineRule="auto"/>
        <w:jc w:val="center"/>
        <w:rPr>
          <w:rFonts w:asciiTheme="minorEastAsia" w:hAnsiTheme="minorEastAsia" w:eastAsiaTheme="minorEastAsia"/>
          <w:color w:val="auto"/>
          <w:sz w:val="32"/>
          <w:highlight w:val="none"/>
        </w:rPr>
      </w:pPr>
    </w:p>
    <w:p>
      <w:pPr>
        <w:spacing w:line="360" w:lineRule="auto"/>
        <w:jc w:val="center"/>
        <w:rPr>
          <w:rFonts w:asciiTheme="minorEastAsia" w:hAnsiTheme="minorEastAsia" w:eastAsiaTheme="minorEastAsia"/>
          <w:color w:val="auto"/>
          <w:sz w:val="32"/>
          <w:highlight w:val="none"/>
        </w:rPr>
      </w:pPr>
    </w:p>
    <w:p>
      <w:pPr>
        <w:spacing w:line="360" w:lineRule="auto"/>
        <w:jc w:val="center"/>
        <w:rPr>
          <w:rFonts w:asciiTheme="minorEastAsia" w:hAnsiTheme="minorEastAsia" w:eastAsiaTheme="minorEastAsia"/>
          <w:color w:val="auto"/>
          <w:sz w:val="32"/>
          <w:highlight w:val="none"/>
        </w:rPr>
      </w:pPr>
    </w:p>
    <w:p>
      <w:pPr>
        <w:spacing w:line="360" w:lineRule="auto"/>
        <w:jc w:val="center"/>
        <w:rPr>
          <w:rFonts w:asciiTheme="minorEastAsia" w:hAnsiTheme="minorEastAsia" w:eastAsiaTheme="minorEastAsia"/>
          <w:color w:val="auto"/>
          <w:sz w:val="32"/>
          <w:highlight w:val="none"/>
        </w:rPr>
      </w:pPr>
    </w:p>
    <w:p>
      <w:pPr>
        <w:spacing w:line="360" w:lineRule="auto"/>
        <w:jc w:val="center"/>
        <w:rPr>
          <w:rFonts w:asciiTheme="minorEastAsia" w:hAnsiTheme="minorEastAsia" w:eastAsiaTheme="minorEastAsia"/>
          <w:color w:val="auto"/>
          <w:sz w:val="32"/>
          <w:highlight w:val="none"/>
        </w:rPr>
      </w:pPr>
    </w:p>
    <w:p>
      <w:pPr>
        <w:spacing w:line="360" w:lineRule="auto"/>
        <w:jc w:val="center"/>
        <w:rPr>
          <w:rFonts w:asciiTheme="minorEastAsia" w:hAnsiTheme="minorEastAsia" w:eastAsiaTheme="minorEastAsia"/>
          <w:color w:val="auto"/>
          <w:sz w:val="32"/>
          <w:highlight w:val="none"/>
        </w:rPr>
      </w:pPr>
    </w:p>
    <w:p>
      <w:pPr>
        <w:pStyle w:val="2"/>
        <w:keepNext w:val="0"/>
        <w:keepLines w:val="0"/>
        <w:spacing w:line="360" w:lineRule="auto"/>
        <w:rPr>
          <w:rFonts w:ascii="宋体" w:hAnsi="宋体" w:eastAsia="宋体"/>
          <w:color w:val="auto"/>
          <w:sz w:val="52"/>
          <w:szCs w:val="52"/>
          <w:highlight w:val="none"/>
          <w:lang w:val="zh-CN"/>
        </w:rPr>
      </w:pPr>
      <w:bookmarkStart w:id="4" w:name="_Toc449306039"/>
      <w:bookmarkStart w:id="5" w:name="_Toc17882828"/>
      <w:bookmarkStart w:id="6" w:name="_Toc364679541"/>
      <w:bookmarkStart w:id="7" w:name="_Toc347819266"/>
      <w:r>
        <w:rPr>
          <w:rFonts w:hint="eastAsia" w:ascii="宋体" w:hAnsi="宋体" w:eastAsia="宋体"/>
          <w:color w:val="auto"/>
          <w:sz w:val="52"/>
          <w:szCs w:val="52"/>
          <w:highlight w:val="none"/>
          <w:lang w:val="zh-CN"/>
        </w:rPr>
        <w:t>第一章 招标公告</w:t>
      </w:r>
      <w:bookmarkEnd w:id="4"/>
      <w:bookmarkEnd w:id="5"/>
      <w:bookmarkEnd w:id="6"/>
      <w:bookmarkEnd w:id="7"/>
    </w:p>
    <w:p>
      <w:pPr>
        <w:spacing w:line="360" w:lineRule="auto"/>
        <w:ind w:left="193" w:leftChars="60" w:hanging="67" w:hangingChars="32"/>
        <w:jc w:val="cente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spacing w:line="360" w:lineRule="auto"/>
        <w:jc w:val="left"/>
        <w:rPr>
          <w:rFonts w:asciiTheme="minorEastAsia" w:hAnsiTheme="minorEastAsia" w:eastAsiaTheme="minorEastAsia"/>
          <w:b/>
          <w:color w:val="auto"/>
          <w:sz w:val="28"/>
          <w:szCs w:val="28"/>
          <w:highlight w:val="none"/>
          <w:u w:val="single"/>
        </w:rPr>
      </w:pPr>
    </w:p>
    <w:tbl>
      <w:tblPr>
        <w:tblStyle w:val="42"/>
        <w:tblW w:w="0" w:type="auto"/>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0" w:type="dxa"/>
          </w:tcPr>
          <w:p>
            <w:pPr>
              <w:spacing w:line="360" w:lineRule="auto"/>
              <w:ind w:firstLine="422" w:firstLineChars="200"/>
              <w:jc w:val="left"/>
              <w:rPr>
                <w:rFonts w:asciiTheme="minorEastAsia" w:hAnsiTheme="minorEastAsia" w:eastAsiaTheme="minorEastAsia"/>
                <w:b/>
                <w:color w:val="auto"/>
                <w:szCs w:val="21"/>
                <w:highlight w:val="none"/>
                <w:u w:val="single"/>
              </w:rPr>
            </w:pPr>
            <w:r>
              <w:rPr>
                <w:rFonts w:hint="eastAsia" w:asciiTheme="minorEastAsia" w:hAnsiTheme="minorEastAsia" w:eastAsiaTheme="minorEastAsia"/>
                <w:b/>
                <w:color w:val="auto"/>
                <w:szCs w:val="21"/>
                <w:highlight w:val="none"/>
                <w:u w:val="single"/>
              </w:rPr>
              <w:t>项目概况：</w:t>
            </w:r>
          </w:p>
          <w:p>
            <w:pPr>
              <w:spacing w:line="360" w:lineRule="auto"/>
              <w:ind w:firstLine="420" w:firstLineChars="200"/>
              <w:jc w:val="left"/>
              <w:rPr>
                <w:rFonts w:asciiTheme="minorEastAsia" w:hAnsiTheme="minorEastAsia" w:eastAsiaTheme="minorEastAsia"/>
                <w:b/>
                <w:color w:val="auto"/>
                <w:szCs w:val="21"/>
                <w:highlight w:val="none"/>
                <w:u w:val="single"/>
              </w:rPr>
            </w:pPr>
            <w:r>
              <w:rPr>
                <w:rFonts w:hint="eastAsia"/>
                <w:color w:val="auto"/>
                <w:highlight w:val="none"/>
                <w:u w:val="single"/>
              </w:rPr>
              <w:t>上海市养志康复医院（上海市阳光康复中心）门诊、康复治疗场地调整装修</w:t>
            </w:r>
            <w:r>
              <w:rPr>
                <w:rFonts w:hint="eastAsia"/>
                <w:color w:val="auto"/>
                <w:highlight w:val="none"/>
              </w:rPr>
              <w:t>招标文件</w:t>
            </w:r>
            <w:r>
              <w:rPr>
                <w:rFonts w:hint="eastAsia" w:ascii="宋体" w:hAnsi="宋体"/>
                <w:color w:val="auto"/>
                <w:kern w:val="0"/>
                <w:szCs w:val="21"/>
                <w:highlight w:val="none"/>
              </w:rPr>
              <w:t>招标项目的潜在投标人应在</w:t>
            </w:r>
            <w:r>
              <w:rPr>
                <w:rFonts w:ascii="宋体" w:hAnsi="宋体"/>
                <w:color w:val="auto"/>
                <w:sz w:val="21"/>
                <w:szCs w:val="21"/>
                <w:highlight w:val="none"/>
                <w:u w:val="single"/>
              </w:rPr>
              <w:t>上海市浦东新区浦明路1229弄</w:t>
            </w:r>
            <w:r>
              <w:rPr>
                <w:rFonts w:hint="eastAsia" w:ascii="宋体" w:hAnsi="宋体"/>
                <w:color w:val="auto"/>
                <w:sz w:val="21"/>
                <w:szCs w:val="21"/>
                <w:highlight w:val="none"/>
                <w:u w:val="single"/>
              </w:rPr>
              <w:t>5楼</w:t>
            </w:r>
            <w:r>
              <w:rPr>
                <w:rFonts w:hint="eastAsia" w:ascii="宋体" w:hAnsi="宋体"/>
                <w:color w:val="auto"/>
                <w:kern w:val="0"/>
                <w:szCs w:val="21"/>
                <w:highlight w:val="none"/>
              </w:rPr>
              <w:t>获取招标文件，并于</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2020</w:t>
            </w:r>
            <w:r>
              <w:rPr>
                <w:rFonts w:hint="eastAsia" w:ascii="宋体" w:hAnsi="宋体"/>
                <w:bCs/>
                <w:color w:val="auto"/>
                <w:kern w:val="0"/>
                <w:szCs w:val="21"/>
                <w:highlight w:val="none"/>
                <w:u w:val="single"/>
              </w:rPr>
              <w:t>年</w:t>
            </w:r>
            <w:r>
              <w:rPr>
                <w:rFonts w:hint="eastAsia" w:ascii="宋体" w:hAnsi="宋体"/>
                <w:bCs/>
                <w:color w:val="auto"/>
                <w:kern w:val="0"/>
                <w:szCs w:val="21"/>
                <w:highlight w:val="none"/>
                <w:u w:val="single"/>
                <w:lang w:val="en-US" w:eastAsia="zh-CN"/>
              </w:rPr>
              <w:t>9</w:t>
            </w:r>
            <w:r>
              <w:rPr>
                <w:rFonts w:hint="eastAsia" w:ascii="宋体" w:hAnsi="宋体"/>
                <w:bCs/>
                <w:color w:val="auto"/>
                <w:kern w:val="0"/>
                <w:szCs w:val="21"/>
                <w:highlight w:val="none"/>
                <w:u w:val="single"/>
              </w:rPr>
              <w:t>月</w:t>
            </w:r>
            <w:r>
              <w:rPr>
                <w:rFonts w:hint="eastAsia" w:ascii="宋体" w:hAnsi="宋体"/>
                <w:bCs/>
                <w:color w:val="auto"/>
                <w:kern w:val="0"/>
                <w:szCs w:val="21"/>
                <w:highlight w:val="none"/>
                <w:u w:val="single"/>
                <w:lang w:val="en-US" w:eastAsia="zh-CN"/>
              </w:rPr>
              <w:t>22</w:t>
            </w:r>
            <w:r>
              <w:rPr>
                <w:rFonts w:hint="eastAsia" w:ascii="宋体" w:hAnsi="宋体"/>
                <w:bCs/>
                <w:color w:val="auto"/>
                <w:kern w:val="0"/>
                <w:szCs w:val="21"/>
                <w:highlight w:val="none"/>
                <w:u w:val="single"/>
              </w:rPr>
              <w:t>日</w:t>
            </w:r>
            <w:r>
              <w:rPr>
                <w:rFonts w:hint="eastAsia" w:ascii="宋体" w:hAnsi="宋体"/>
                <w:bCs/>
                <w:color w:val="auto"/>
                <w:kern w:val="0"/>
                <w:szCs w:val="21"/>
                <w:highlight w:val="none"/>
                <w:u w:val="single"/>
                <w:lang w:val="en-US" w:eastAsia="zh-CN"/>
              </w:rPr>
              <w:t>10</w:t>
            </w:r>
            <w:r>
              <w:rPr>
                <w:rFonts w:hint="eastAsia" w:ascii="宋体" w:hAnsi="宋体"/>
                <w:bCs/>
                <w:color w:val="auto"/>
                <w:kern w:val="0"/>
                <w:szCs w:val="21"/>
                <w:highlight w:val="none"/>
                <w:u w:val="single"/>
              </w:rPr>
              <w:t>点</w:t>
            </w:r>
            <w:r>
              <w:rPr>
                <w:rFonts w:hint="eastAsia" w:ascii="宋体" w:hAnsi="宋体"/>
                <w:bCs/>
                <w:color w:val="auto"/>
                <w:kern w:val="0"/>
                <w:szCs w:val="21"/>
                <w:highlight w:val="none"/>
                <w:u w:val="single"/>
                <w:lang w:val="en-US" w:eastAsia="zh-CN"/>
              </w:rPr>
              <w:t>00</w:t>
            </w:r>
            <w:r>
              <w:rPr>
                <w:rFonts w:hint="eastAsia" w:ascii="宋体" w:hAnsi="宋体"/>
                <w:bCs/>
                <w:color w:val="auto"/>
                <w:kern w:val="0"/>
                <w:szCs w:val="21"/>
                <w:highlight w:val="none"/>
                <w:u w:val="single"/>
              </w:rPr>
              <w:t>分（</w:t>
            </w:r>
            <w:r>
              <w:rPr>
                <w:rFonts w:hint="eastAsia" w:ascii="宋体" w:hAnsi="宋体"/>
                <w:bCs/>
                <w:color w:val="auto"/>
                <w:kern w:val="0"/>
                <w:szCs w:val="21"/>
                <w:highlight w:val="none"/>
              </w:rPr>
              <w:t>北京时间）前递交投标</w:t>
            </w:r>
            <w:r>
              <w:rPr>
                <w:rFonts w:ascii="宋体" w:hAnsi="宋体"/>
                <w:bCs/>
                <w:color w:val="auto"/>
                <w:kern w:val="0"/>
                <w:szCs w:val="21"/>
                <w:highlight w:val="none"/>
              </w:rPr>
              <w:t>文件</w:t>
            </w:r>
            <w:r>
              <w:rPr>
                <w:rFonts w:hint="eastAsia" w:ascii="宋体" w:hAnsi="宋体"/>
                <w:bCs/>
                <w:color w:val="auto"/>
                <w:kern w:val="0"/>
                <w:szCs w:val="21"/>
                <w:highlight w:val="none"/>
              </w:rPr>
              <w:t>。</w:t>
            </w:r>
          </w:p>
        </w:tc>
      </w:tr>
    </w:tbl>
    <w:p>
      <w:pPr>
        <w:spacing w:line="360" w:lineRule="auto"/>
        <w:ind w:left="215" w:leftChars="60" w:hanging="89" w:hangingChars="32"/>
        <w:jc w:val="left"/>
        <w:rPr>
          <w:rFonts w:ascii="宋体" w:hAnsi="宋体"/>
          <w:color w:val="auto"/>
          <w:sz w:val="28"/>
          <w:highlight w:val="none"/>
        </w:rPr>
      </w:pPr>
    </w:p>
    <w:p>
      <w:pPr>
        <w:numPr>
          <w:ilvl w:val="0"/>
          <w:numId w:val="2"/>
        </w:numPr>
        <w:adjustRightInd w:val="0"/>
        <w:spacing w:line="360" w:lineRule="auto"/>
        <w:textAlignment w:val="baseline"/>
        <w:rPr>
          <w:rFonts w:ascii="宋体" w:hAnsi="宋体" w:cs="宋体"/>
          <w:b/>
          <w:color w:val="auto"/>
          <w:kern w:val="0"/>
          <w:szCs w:val="21"/>
          <w:highlight w:val="none"/>
        </w:rPr>
      </w:pPr>
      <w:bookmarkStart w:id="8" w:name="_Toc347819267"/>
      <w:r>
        <w:rPr>
          <w:rFonts w:hint="eastAsia" w:ascii="宋体" w:hAnsi="宋体" w:cs="宋体"/>
          <w:b/>
          <w:color w:val="auto"/>
          <w:kern w:val="0"/>
          <w:szCs w:val="21"/>
          <w:highlight w:val="none"/>
        </w:rPr>
        <w:t>项目基本情况</w:t>
      </w:r>
    </w:p>
    <w:p>
      <w:pPr>
        <w:adjustRightInd w:val="0"/>
        <w:spacing w:line="360" w:lineRule="auto"/>
        <w:ind w:left="440"/>
        <w:textAlignment w:val="baseline"/>
        <w:rPr>
          <w:rFonts w:ascii="宋体" w:hAnsi="宋体"/>
          <w:color w:val="auto"/>
          <w:kern w:val="0"/>
          <w:szCs w:val="21"/>
          <w:highlight w:val="none"/>
        </w:rPr>
      </w:pPr>
      <w:r>
        <w:rPr>
          <w:rFonts w:hint="eastAsia" w:ascii="宋体" w:hAnsi="宋体"/>
          <w:b/>
          <w:color w:val="auto"/>
          <w:kern w:val="0"/>
          <w:szCs w:val="21"/>
          <w:highlight w:val="none"/>
        </w:rPr>
        <w:t>项目编号</w:t>
      </w:r>
      <w:r>
        <w:rPr>
          <w:rFonts w:hint="eastAsia" w:ascii="宋体" w:hAnsi="宋体"/>
          <w:color w:val="auto"/>
          <w:kern w:val="0"/>
          <w:szCs w:val="21"/>
          <w:highlight w:val="none"/>
        </w:rPr>
        <w:t>：施招2020-350</w:t>
      </w:r>
    </w:p>
    <w:p>
      <w:pPr>
        <w:adjustRightInd w:val="0"/>
        <w:spacing w:line="360" w:lineRule="auto"/>
        <w:ind w:left="440"/>
        <w:textAlignment w:val="baseline"/>
        <w:rPr>
          <w:rFonts w:ascii="宋体" w:hAnsi="宋体"/>
          <w:color w:val="auto"/>
          <w:kern w:val="0"/>
          <w:szCs w:val="21"/>
          <w:highlight w:val="none"/>
        </w:rPr>
      </w:pPr>
      <w:r>
        <w:rPr>
          <w:rFonts w:hint="eastAsia" w:ascii="宋体" w:hAnsi="宋体"/>
          <w:b/>
          <w:color w:val="auto"/>
          <w:kern w:val="0"/>
          <w:szCs w:val="21"/>
          <w:highlight w:val="none"/>
        </w:rPr>
        <w:t>项目名称</w:t>
      </w:r>
      <w:r>
        <w:rPr>
          <w:rFonts w:hint="eastAsia" w:ascii="宋体" w:hAnsi="宋体"/>
          <w:color w:val="auto"/>
          <w:kern w:val="0"/>
          <w:szCs w:val="21"/>
          <w:highlight w:val="none"/>
        </w:rPr>
        <w:t>：上海市养志康复医院（上海市阳光康复中心）门诊、康复治疗场地调整装修</w:t>
      </w:r>
    </w:p>
    <w:p>
      <w:pPr>
        <w:adjustRightInd w:val="0"/>
        <w:spacing w:line="360" w:lineRule="auto"/>
        <w:ind w:left="440"/>
        <w:textAlignment w:val="baseline"/>
        <w:rPr>
          <w:rFonts w:ascii="宋体" w:hAnsi="宋体"/>
          <w:color w:val="auto"/>
          <w:kern w:val="0"/>
          <w:szCs w:val="21"/>
          <w:highlight w:val="none"/>
        </w:rPr>
      </w:pPr>
      <w:r>
        <w:rPr>
          <w:rFonts w:hint="eastAsia" w:ascii="宋体" w:hAnsi="宋体"/>
          <w:b/>
          <w:color w:val="auto"/>
          <w:kern w:val="0"/>
          <w:szCs w:val="21"/>
          <w:highlight w:val="none"/>
        </w:rPr>
        <w:t>预算金额</w:t>
      </w:r>
      <w:r>
        <w:rPr>
          <w:rFonts w:hint="eastAsia" w:ascii="宋体" w:hAnsi="宋体"/>
          <w:color w:val="auto"/>
          <w:kern w:val="0"/>
          <w:szCs w:val="21"/>
          <w:highlight w:val="none"/>
        </w:rPr>
        <w:t>：</w:t>
      </w:r>
      <w:r>
        <w:rPr>
          <w:rFonts w:hint="eastAsia" w:ascii="宋体" w:hAnsi="宋体"/>
          <w:color w:val="auto"/>
          <w:szCs w:val="21"/>
          <w:highlight w:val="none"/>
          <w:lang w:val="en-US" w:eastAsia="zh-CN"/>
        </w:rPr>
        <w:t>190.88</w:t>
      </w:r>
      <w:r>
        <w:rPr>
          <w:rFonts w:hint="eastAsia" w:ascii="宋体" w:hAnsi="宋体"/>
          <w:color w:val="auto"/>
          <w:kern w:val="0"/>
          <w:szCs w:val="21"/>
          <w:highlight w:val="none"/>
        </w:rPr>
        <w:t>万元人民币</w:t>
      </w:r>
    </w:p>
    <w:p>
      <w:pPr>
        <w:adjustRightInd w:val="0"/>
        <w:spacing w:line="360" w:lineRule="auto"/>
        <w:ind w:left="440"/>
        <w:textAlignment w:val="baseline"/>
        <w:rPr>
          <w:rFonts w:ascii="宋体" w:hAnsi="宋体"/>
          <w:color w:val="auto"/>
          <w:kern w:val="0"/>
          <w:szCs w:val="21"/>
          <w:highlight w:val="none"/>
        </w:rPr>
      </w:pPr>
      <w:r>
        <w:rPr>
          <w:rFonts w:hint="eastAsia" w:ascii="宋体" w:hAnsi="宋体"/>
          <w:b/>
          <w:color w:val="auto"/>
          <w:kern w:val="0"/>
          <w:szCs w:val="21"/>
          <w:highlight w:val="none"/>
        </w:rPr>
        <w:t>最高限价（如有）</w:t>
      </w:r>
      <w:r>
        <w:rPr>
          <w:rFonts w:hint="eastAsia" w:ascii="宋体" w:hAnsi="宋体"/>
          <w:color w:val="auto"/>
          <w:kern w:val="0"/>
          <w:szCs w:val="21"/>
          <w:highlight w:val="none"/>
        </w:rPr>
        <w:t>：</w:t>
      </w:r>
      <w:r>
        <w:rPr>
          <w:rFonts w:hint="eastAsia" w:ascii="宋体" w:hAnsi="宋体"/>
          <w:color w:val="auto"/>
          <w:szCs w:val="21"/>
          <w:highlight w:val="none"/>
          <w:lang w:val="en-US" w:eastAsia="zh-CN"/>
        </w:rPr>
        <w:t>190.88</w:t>
      </w:r>
      <w:r>
        <w:rPr>
          <w:rFonts w:hint="eastAsia" w:ascii="宋体" w:hAnsi="宋体"/>
          <w:color w:val="auto"/>
          <w:kern w:val="0"/>
          <w:szCs w:val="21"/>
          <w:highlight w:val="none"/>
        </w:rPr>
        <w:t>万元人民币</w:t>
      </w:r>
    </w:p>
    <w:p>
      <w:pPr>
        <w:adjustRightInd w:val="0"/>
        <w:spacing w:line="360" w:lineRule="auto"/>
        <w:ind w:left="440"/>
        <w:textAlignment w:val="baseline"/>
        <w:rPr>
          <w:rFonts w:ascii="宋体" w:hAnsi="宋体"/>
          <w:color w:val="auto"/>
          <w:kern w:val="0"/>
          <w:szCs w:val="21"/>
          <w:highlight w:val="none"/>
          <w:u w:val="single"/>
        </w:rPr>
      </w:pPr>
      <w:r>
        <w:rPr>
          <w:rFonts w:hint="eastAsia" w:ascii="宋体" w:hAnsi="宋体"/>
          <w:b/>
          <w:color w:val="auto"/>
          <w:kern w:val="0"/>
          <w:szCs w:val="21"/>
          <w:highlight w:val="none"/>
        </w:rPr>
        <w:t>采购需求</w:t>
      </w:r>
      <w:r>
        <w:rPr>
          <w:rFonts w:hint="eastAsia" w:ascii="宋体" w:hAnsi="宋体"/>
          <w:color w:val="auto"/>
          <w:kern w:val="0"/>
          <w:szCs w:val="21"/>
          <w:highlight w:val="none"/>
        </w:rPr>
        <w:t>：</w:t>
      </w:r>
      <w:r>
        <w:rPr>
          <w:rFonts w:hint="eastAsia" w:ascii="宋体" w:hAnsi="宋体"/>
          <w:color w:val="auto"/>
          <w:szCs w:val="21"/>
          <w:highlight w:val="none"/>
          <w:lang w:eastAsia="zh-CN"/>
        </w:rPr>
        <w:t>儿童诊疗及康复治疗区域整体移出3号楼和1号楼，调整到4号楼一层，面积约750平方。设立儿童门诊、儿童中医门诊、水疗、个训室、评定室、PT治疗室、OT治疗室、手法治疗区、舞蹈教室等。本次儿童门诊康复中心装饰内含装修、水、电、弱电、消防、空调（政府采购）等，面积250平方</w:t>
      </w:r>
      <w:r>
        <w:rPr>
          <w:rFonts w:hint="eastAsia" w:ascii="宋体" w:hAnsi="宋体"/>
          <w:color w:val="auto"/>
          <w:szCs w:val="21"/>
          <w:highlight w:val="none"/>
          <w:lang w:val="en-US" w:eastAsia="zh-CN"/>
        </w:rPr>
        <w:t>米</w:t>
      </w:r>
      <w:r>
        <w:rPr>
          <w:rFonts w:hint="eastAsia" w:ascii="宋体" w:hAnsi="宋体"/>
          <w:color w:val="auto"/>
          <w:szCs w:val="21"/>
          <w:highlight w:val="none"/>
          <w:lang w:eastAsia="zh-CN"/>
        </w:rPr>
        <w:t>。</w:t>
      </w:r>
    </w:p>
    <w:p>
      <w:pPr>
        <w:adjustRightInd w:val="0"/>
        <w:spacing w:line="360" w:lineRule="auto"/>
        <w:ind w:firstLine="422" w:firstLineChars="200"/>
        <w:textAlignment w:val="baseline"/>
        <w:rPr>
          <w:rFonts w:ascii="宋体" w:hAnsi="宋体"/>
          <w:color w:val="auto"/>
          <w:kern w:val="0"/>
          <w:szCs w:val="21"/>
          <w:highlight w:val="none"/>
          <w:u w:val="single"/>
        </w:rPr>
      </w:pPr>
      <w:r>
        <w:rPr>
          <w:rFonts w:hint="eastAsia" w:ascii="宋体" w:hAnsi="宋体"/>
          <w:b/>
          <w:color w:val="auto"/>
          <w:kern w:val="0"/>
          <w:szCs w:val="21"/>
          <w:highlight w:val="none"/>
        </w:rPr>
        <w:t>合同履行期限</w:t>
      </w:r>
      <w:r>
        <w:rPr>
          <w:rFonts w:hint="eastAsia" w:ascii="宋体" w:hAnsi="宋体"/>
          <w:color w:val="auto"/>
          <w:kern w:val="0"/>
          <w:szCs w:val="21"/>
          <w:highlight w:val="none"/>
        </w:rPr>
        <w:t>：</w:t>
      </w:r>
      <w:r>
        <w:rPr>
          <w:rFonts w:hint="eastAsia" w:ascii="宋体" w:hAnsi="宋体"/>
          <w:color w:val="auto"/>
          <w:szCs w:val="21"/>
          <w:highlight w:val="none"/>
        </w:rPr>
        <w:t>施工工期</w:t>
      </w:r>
      <w:r>
        <w:rPr>
          <w:rFonts w:hint="eastAsia" w:ascii="宋体" w:hAnsi="宋体"/>
          <w:color w:val="auto"/>
          <w:szCs w:val="21"/>
          <w:highlight w:val="none"/>
          <w:lang w:val="en-US" w:eastAsia="zh-CN"/>
        </w:rPr>
        <w:t>90</w:t>
      </w:r>
      <w:r>
        <w:rPr>
          <w:rFonts w:hint="eastAsia" w:ascii="宋体" w:hAnsi="宋体"/>
          <w:color w:val="auto"/>
          <w:szCs w:val="21"/>
          <w:highlight w:val="none"/>
        </w:rPr>
        <w:t>日历天（计划开工日期：</w:t>
      </w:r>
      <w:r>
        <w:rPr>
          <w:rFonts w:hint="eastAsia" w:ascii="宋体" w:hAnsi="宋体"/>
          <w:color w:val="auto"/>
          <w:szCs w:val="21"/>
          <w:highlight w:val="none"/>
          <w:lang w:val="en-US" w:eastAsia="zh-CN"/>
        </w:rPr>
        <w:t>以采购人书面通知为准</w:t>
      </w:r>
      <w:r>
        <w:rPr>
          <w:rFonts w:hint="eastAsia" w:ascii="宋体" w:hAnsi="宋体"/>
          <w:color w:val="auto"/>
          <w:szCs w:val="21"/>
          <w:highlight w:val="none"/>
        </w:rPr>
        <w:t>）</w:t>
      </w:r>
    </w:p>
    <w:p>
      <w:pPr>
        <w:adjustRightInd w:val="0"/>
        <w:spacing w:line="360" w:lineRule="auto"/>
        <w:ind w:firstLine="422" w:firstLineChars="200"/>
        <w:textAlignment w:val="baseline"/>
        <w:rPr>
          <w:rFonts w:ascii="宋体" w:hAnsi="宋体"/>
          <w:color w:val="auto"/>
          <w:kern w:val="0"/>
          <w:szCs w:val="21"/>
          <w:highlight w:val="none"/>
        </w:rPr>
      </w:pPr>
      <w:r>
        <w:rPr>
          <w:rFonts w:hint="eastAsia" w:ascii="宋体" w:hAnsi="宋体"/>
          <w:b/>
          <w:color w:val="auto"/>
          <w:kern w:val="0"/>
          <w:szCs w:val="21"/>
          <w:highlight w:val="none"/>
        </w:rPr>
        <w:t xml:space="preserve">本项目（□接受 </w:t>
      </w:r>
      <w:r>
        <w:rPr>
          <w:rFonts w:hint="eastAsia" w:ascii="宋体" w:hAnsi="宋体"/>
          <w:color w:val="auto"/>
          <w:szCs w:val="21"/>
          <w:highlight w:val="none"/>
        </w:rPr>
        <w:t>■</w:t>
      </w:r>
      <w:r>
        <w:rPr>
          <w:rFonts w:hint="eastAsia" w:ascii="宋体" w:hAnsi="宋体"/>
          <w:b/>
          <w:color w:val="auto"/>
          <w:kern w:val="0"/>
          <w:szCs w:val="21"/>
          <w:highlight w:val="none"/>
        </w:rPr>
        <w:t>不接受）联合体投标</w:t>
      </w:r>
      <w:r>
        <w:rPr>
          <w:rFonts w:hint="eastAsia" w:ascii="宋体" w:hAnsi="宋体"/>
          <w:color w:val="auto"/>
          <w:kern w:val="0"/>
          <w:szCs w:val="21"/>
          <w:highlight w:val="none"/>
        </w:rPr>
        <w:t>。</w:t>
      </w:r>
    </w:p>
    <w:p>
      <w:pPr>
        <w:adjustRightInd w:val="0"/>
        <w:spacing w:line="360" w:lineRule="auto"/>
        <w:ind w:firstLine="420" w:firstLineChars="200"/>
        <w:textAlignment w:val="baseline"/>
        <w:rPr>
          <w:rFonts w:ascii="宋体" w:hAnsi="宋体"/>
          <w:color w:val="auto"/>
          <w:kern w:val="0"/>
          <w:szCs w:val="21"/>
          <w:highlight w:val="none"/>
        </w:rPr>
      </w:pPr>
    </w:p>
    <w:p>
      <w:pPr>
        <w:numPr>
          <w:ilvl w:val="0"/>
          <w:numId w:val="2"/>
        </w:numPr>
        <w:adjustRightInd w:val="0"/>
        <w:spacing w:line="360" w:lineRule="auto"/>
        <w:textAlignment w:val="baseline"/>
        <w:rPr>
          <w:rFonts w:ascii="宋体" w:hAnsi="宋体"/>
          <w:b/>
          <w:color w:val="auto"/>
          <w:kern w:val="0"/>
          <w:szCs w:val="21"/>
          <w:highlight w:val="none"/>
        </w:rPr>
      </w:pPr>
      <w:r>
        <w:rPr>
          <w:rFonts w:hint="eastAsia" w:ascii="宋体" w:hAnsi="宋体" w:cs="宋体"/>
          <w:b/>
          <w:color w:val="auto"/>
          <w:kern w:val="0"/>
          <w:szCs w:val="21"/>
          <w:highlight w:val="none"/>
        </w:rPr>
        <w:t>申请人的资格要求</w:t>
      </w:r>
    </w:p>
    <w:p>
      <w:pPr>
        <w:adjustRightInd w:val="0"/>
        <w:spacing w:line="360" w:lineRule="auto"/>
        <w:ind w:firstLine="420" w:firstLineChars="200"/>
        <w:textAlignment w:val="baseline"/>
        <w:rPr>
          <w:rFonts w:ascii="宋体" w:hAnsi="宋体"/>
          <w:color w:val="auto"/>
          <w:kern w:val="0"/>
          <w:szCs w:val="21"/>
          <w:highlight w:val="none"/>
        </w:rPr>
      </w:pPr>
      <w:r>
        <w:rPr>
          <w:rFonts w:hint="eastAsia" w:ascii="宋体" w:hAnsi="宋体"/>
          <w:color w:val="auto"/>
          <w:kern w:val="0"/>
          <w:szCs w:val="21"/>
          <w:highlight w:val="none"/>
        </w:rPr>
        <w:t>1.满足《中华人民共和国政府采购法》第二十二条规定；</w:t>
      </w:r>
    </w:p>
    <w:p>
      <w:pPr>
        <w:adjustRightInd w:val="0"/>
        <w:spacing w:line="360" w:lineRule="auto"/>
        <w:ind w:firstLine="420" w:firstLineChars="200"/>
        <w:textAlignment w:val="baseline"/>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.落实政府采购政策需满足的资格要求：（1）</w:t>
      </w:r>
      <w:r>
        <w:rPr>
          <w:rFonts w:hint="eastAsia"/>
          <w:color w:val="auto"/>
          <w:kern w:val="0"/>
          <w:szCs w:val="21"/>
          <w:highlight w:val="none"/>
        </w:rPr>
        <w:t>本项目</w:t>
      </w:r>
      <w:r>
        <w:rPr>
          <w:rFonts w:hint="eastAsia" w:ascii="宋体" w:hAnsi="宋体"/>
          <w:color w:val="auto"/>
          <w:kern w:val="0"/>
          <w:szCs w:val="21"/>
          <w:highlight w:val="none"/>
        </w:rPr>
        <w:t xml:space="preserve">（□是 </w:t>
      </w:r>
      <w:r>
        <w:rPr>
          <w:rFonts w:hint="eastAsia" w:ascii="宋体" w:hAnsi="宋体"/>
          <w:color w:val="auto"/>
          <w:szCs w:val="21"/>
          <w:highlight w:val="none"/>
        </w:rPr>
        <w:t>■</w:t>
      </w:r>
      <w:r>
        <w:rPr>
          <w:rFonts w:hint="eastAsia" w:ascii="宋体" w:hAnsi="宋体"/>
          <w:color w:val="auto"/>
          <w:kern w:val="0"/>
          <w:szCs w:val="21"/>
          <w:highlight w:val="none"/>
        </w:rPr>
        <w:t>不是）</w:t>
      </w:r>
      <w:r>
        <w:rPr>
          <w:rFonts w:hint="eastAsia" w:ascii="Calibri"/>
          <w:color w:val="auto"/>
          <w:kern w:val="0"/>
          <w:szCs w:val="21"/>
          <w:highlight w:val="none"/>
        </w:rPr>
        <w:t>专门面向中小企业或小型、微型企业采购；（2）</w:t>
      </w:r>
      <w:r>
        <w:rPr>
          <w:rFonts w:ascii="宋体" w:hAnsi="宋体"/>
          <w:color w:val="auto"/>
          <w:kern w:val="0"/>
          <w:szCs w:val="21"/>
          <w:highlight w:val="none"/>
        </w:rPr>
        <w:t>本项目</w:t>
      </w:r>
      <w:r>
        <w:rPr>
          <w:rFonts w:hint="eastAsia" w:ascii="宋体" w:hAnsi="宋体"/>
          <w:color w:val="auto"/>
          <w:kern w:val="0"/>
          <w:szCs w:val="21"/>
          <w:highlight w:val="none"/>
        </w:rPr>
        <w:t xml:space="preserve">（□接受 </w:t>
      </w:r>
      <w:r>
        <w:rPr>
          <w:rFonts w:hint="eastAsia" w:ascii="宋体" w:hAnsi="宋体"/>
          <w:color w:val="auto"/>
          <w:szCs w:val="21"/>
          <w:highlight w:val="none"/>
        </w:rPr>
        <w:t>■</w:t>
      </w:r>
      <w:r>
        <w:rPr>
          <w:rFonts w:hint="eastAsia" w:ascii="宋体" w:hAnsi="宋体"/>
          <w:color w:val="auto"/>
          <w:kern w:val="0"/>
          <w:szCs w:val="21"/>
          <w:highlight w:val="none"/>
        </w:rPr>
        <w:t>不接受）</w:t>
      </w:r>
      <w:r>
        <w:rPr>
          <w:rFonts w:ascii="宋体" w:hAnsi="宋体"/>
          <w:color w:val="auto"/>
          <w:kern w:val="0"/>
          <w:szCs w:val="21"/>
          <w:highlight w:val="none"/>
        </w:rPr>
        <w:t>进口产品</w:t>
      </w:r>
      <w:r>
        <w:rPr>
          <w:rFonts w:hint="eastAsia" w:ascii="宋体" w:hAnsi="宋体"/>
          <w:bCs/>
          <w:color w:val="auto"/>
          <w:kern w:val="0"/>
          <w:szCs w:val="21"/>
          <w:highlight w:val="none"/>
        </w:rPr>
        <w:t>；</w:t>
      </w:r>
    </w:p>
    <w:p>
      <w:pPr>
        <w:adjustRightInd w:val="0"/>
        <w:spacing w:line="360" w:lineRule="auto"/>
        <w:ind w:firstLine="438" w:firstLineChars="209"/>
        <w:textAlignment w:val="baseline"/>
        <w:rPr>
          <w:rFonts w:ascii="宋体" w:hAnsi="宋体"/>
          <w:i/>
          <w:iCs/>
          <w:color w:val="auto"/>
          <w:kern w:val="0"/>
          <w:szCs w:val="21"/>
          <w:highlight w:val="none"/>
          <w:u w:val="single"/>
        </w:rPr>
      </w:pPr>
      <w:r>
        <w:rPr>
          <w:rFonts w:hint="eastAsia" w:ascii="宋体" w:hAnsi="宋体"/>
          <w:color w:val="auto"/>
          <w:kern w:val="0"/>
          <w:szCs w:val="21"/>
          <w:highlight w:val="none"/>
        </w:rPr>
        <w:t>3.本项目的特定资格要求：</w:t>
      </w:r>
    </w:p>
    <w:p>
      <w:pPr>
        <w:numPr>
          <w:ilvl w:val="0"/>
          <w:numId w:val="3"/>
        </w:numPr>
        <w:tabs>
          <w:tab w:val="left" w:pos="567"/>
          <w:tab w:val="left" w:pos="709"/>
          <w:tab w:val="left" w:pos="851"/>
          <w:tab w:val="left" w:pos="993"/>
        </w:tabs>
        <w:adjustRightInd w:val="0"/>
        <w:spacing w:line="360" w:lineRule="auto"/>
        <w:ind w:firstLine="6"/>
        <w:textAlignment w:val="baseline"/>
        <w:rPr>
          <w:rFonts w:ascii="宋体" w:hAnsi="宋体"/>
          <w:color w:val="auto"/>
          <w:kern w:val="0"/>
          <w:szCs w:val="21"/>
          <w:highlight w:val="none"/>
        </w:rPr>
      </w:pPr>
      <w:r>
        <w:rPr>
          <w:rFonts w:ascii="宋体" w:hAnsi="宋体"/>
          <w:color w:val="auto"/>
          <w:kern w:val="0"/>
          <w:szCs w:val="21"/>
          <w:highlight w:val="none"/>
        </w:rPr>
        <w:t>根据《上海市政府采购供应商登记及诚信管理办法》已登记入库的供应商</w:t>
      </w:r>
      <w:r>
        <w:rPr>
          <w:rFonts w:hint="eastAsia" w:ascii="宋体" w:hAnsi="宋体"/>
          <w:color w:val="auto"/>
          <w:kern w:val="0"/>
          <w:szCs w:val="21"/>
          <w:highlight w:val="none"/>
        </w:rPr>
        <w:t>；</w:t>
      </w:r>
    </w:p>
    <w:p>
      <w:pPr>
        <w:numPr>
          <w:ilvl w:val="0"/>
          <w:numId w:val="3"/>
        </w:numPr>
        <w:tabs>
          <w:tab w:val="left" w:pos="567"/>
          <w:tab w:val="left" w:pos="709"/>
          <w:tab w:val="left" w:pos="851"/>
          <w:tab w:val="left" w:pos="993"/>
        </w:tabs>
        <w:adjustRightInd w:val="0"/>
        <w:spacing w:line="360" w:lineRule="auto"/>
        <w:ind w:firstLine="6"/>
        <w:textAlignment w:val="baseline"/>
        <w:rPr>
          <w:rFonts w:ascii="宋体" w:hAnsi="宋体"/>
          <w:color w:val="auto"/>
          <w:kern w:val="0"/>
          <w:szCs w:val="21"/>
          <w:highlight w:val="none"/>
        </w:rPr>
      </w:pPr>
      <w:r>
        <w:rPr>
          <w:rFonts w:hint="eastAsia" w:ascii="宋体" w:hAnsi="宋体"/>
          <w:color w:val="auto"/>
          <w:szCs w:val="21"/>
          <w:highlight w:val="none"/>
        </w:rPr>
        <w:t>在中华人民共和国境内注册的独立法人，且有相应的经营范围</w:t>
      </w:r>
      <w:r>
        <w:rPr>
          <w:rFonts w:hint="eastAsia" w:ascii="宋体" w:hAnsi="宋体"/>
          <w:color w:val="auto"/>
          <w:kern w:val="0"/>
          <w:szCs w:val="21"/>
          <w:highlight w:val="none"/>
        </w:rPr>
        <w:t>；</w:t>
      </w:r>
    </w:p>
    <w:p>
      <w:pPr>
        <w:numPr>
          <w:ilvl w:val="0"/>
          <w:numId w:val="3"/>
        </w:numPr>
        <w:tabs>
          <w:tab w:val="left" w:pos="567"/>
          <w:tab w:val="left" w:pos="709"/>
          <w:tab w:val="left" w:pos="851"/>
          <w:tab w:val="left" w:pos="993"/>
        </w:tabs>
        <w:adjustRightInd w:val="0"/>
        <w:spacing w:line="360" w:lineRule="auto"/>
        <w:ind w:firstLine="6"/>
        <w:textAlignment w:val="baseline"/>
        <w:rPr>
          <w:color w:val="auto"/>
          <w:kern w:val="0"/>
          <w:szCs w:val="21"/>
          <w:highlight w:val="none"/>
        </w:rPr>
      </w:pPr>
      <w:r>
        <w:rPr>
          <w:rFonts w:hint="eastAsia" w:ascii="宋体" w:hAnsi="宋体"/>
          <w:color w:val="auto"/>
          <w:szCs w:val="21"/>
          <w:highlight w:val="none"/>
        </w:rPr>
        <w:t>具有安全生产许可证（有效期内）</w:t>
      </w:r>
      <w:r>
        <w:rPr>
          <w:rFonts w:hint="eastAsia" w:ascii="宋体" w:hAnsi="宋体"/>
          <w:color w:val="auto"/>
          <w:szCs w:val="21"/>
          <w:highlight w:val="none"/>
          <w:lang w:eastAsia="zh-CN"/>
        </w:rPr>
        <w:t>；</w:t>
      </w:r>
    </w:p>
    <w:p>
      <w:pPr>
        <w:numPr>
          <w:ilvl w:val="0"/>
          <w:numId w:val="3"/>
        </w:numPr>
        <w:tabs>
          <w:tab w:val="left" w:pos="567"/>
          <w:tab w:val="left" w:pos="709"/>
          <w:tab w:val="left" w:pos="851"/>
          <w:tab w:val="left" w:pos="993"/>
        </w:tabs>
        <w:adjustRightInd w:val="0"/>
        <w:spacing w:line="360" w:lineRule="auto"/>
        <w:ind w:firstLine="6"/>
        <w:textAlignment w:val="baseline"/>
        <w:rPr>
          <w:color w:val="auto"/>
          <w:kern w:val="0"/>
          <w:szCs w:val="21"/>
          <w:highlight w:val="none"/>
        </w:rPr>
      </w:pPr>
      <w:r>
        <w:rPr>
          <w:rFonts w:hint="eastAsia" w:ascii="宋体" w:hAnsi="宋体"/>
          <w:color w:val="auto"/>
          <w:szCs w:val="21"/>
          <w:highlight w:val="none"/>
        </w:rPr>
        <w:t>具有建筑工程施工总承包三级及其以上资质</w:t>
      </w:r>
      <w:r>
        <w:rPr>
          <w:rFonts w:hint="eastAsia" w:ascii="宋体" w:hAnsi="宋体"/>
          <w:color w:val="auto"/>
          <w:szCs w:val="21"/>
          <w:highlight w:val="none"/>
          <w:lang w:val="en-US" w:eastAsia="zh-CN"/>
        </w:rPr>
        <w:t>并同时具有建筑装修装饰工程专业承包二级及以上资质；</w:t>
      </w:r>
    </w:p>
    <w:p>
      <w:pPr>
        <w:numPr>
          <w:ilvl w:val="0"/>
          <w:numId w:val="3"/>
        </w:numPr>
        <w:tabs>
          <w:tab w:val="left" w:pos="567"/>
          <w:tab w:val="left" w:pos="709"/>
          <w:tab w:val="left" w:pos="851"/>
          <w:tab w:val="left" w:pos="993"/>
        </w:tabs>
        <w:adjustRightInd w:val="0"/>
        <w:spacing w:line="360" w:lineRule="auto"/>
        <w:ind w:firstLine="6"/>
        <w:textAlignment w:val="baseline"/>
        <w:rPr>
          <w:color w:val="auto"/>
          <w:kern w:val="0"/>
          <w:szCs w:val="21"/>
          <w:highlight w:val="none"/>
        </w:rPr>
      </w:pPr>
      <w:r>
        <w:rPr>
          <w:rFonts w:hint="eastAsia" w:ascii="宋体" w:hAnsi="宋体"/>
          <w:color w:val="auto"/>
          <w:szCs w:val="21"/>
          <w:highlight w:val="none"/>
        </w:rPr>
        <w:t>拟派项目经理具有建筑工程专业二级及其以上注册建造师执业资格，具备有效的安全生产考核合格证书</w:t>
      </w:r>
      <w:r>
        <w:rPr>
          <w:rFonts w:hint="eastAsia"/>
          <w:color w:val="auto"/>
          <w:kern w:val="0"/>
          <w:szCs w:val="21"/>
          <w:highlight w:val="none"/>
        </w:rPr>
        <w:t>；</w:t>
      </w:r>
    </w:p>
    <w:p>
      <w:pPr>
        <w:numPr>
          <w:ilvl w:val="0"/>
          <w:numId w:val="3"/>
        </w:numPr>
        <w:tabs>
          <w:tab w:val="left" w:pos="567"/>
          <w:tab w:val="left" w:pos="709"/>
          <w:tab w:val="left" w:pos="851"/>
          <w:tab w:val="left" w:pos="993"/>
        </w:tabs>
        <w:adjustRightInd w:val="0"/>
        <w:spacing w:line="360" w:lineRule="auto"/>
        <w:ind w:firstLine="6"/>
        <w:textAlignment w:val="baseline"/>
        <w:rPr>
          <w:color w:val="auto"/>
          <w:kern w:val="0"/>
          <w:szCs w:val="21"/>
          <w:highlight w:val="none"/>
        </w:rPr>
      </w:pPr>
      <w:r>
        <w:rPr>
          <w:color w:val="auto"/>
          <w:kern w:val="0"/>
          <w:szCs w:val="21"/>
          <w:highlight w:val="none"/>
        </w:rPr>
        <w:t>本项目不允许转包；</w:t>
      </w:r>
    </w:p>
    <w:p>
      <w:pPr>
        <w:numPr>
          <w:ilvl w:val="0"/>
          <w:numId w:val="3"/>
        </w:numPr>
        <w:tabs>
          <w:tab w:val="left" w:pos="567"/>
          <w:tab w:val="left" w:pos="709"/>
          <w:tab w:val="left" w:pos="851"/>
          <w:tab w:val="left" w:pos="993"/>
        </w:tabs>
        <w:adjustRightInd w:val="0"/>
        <w:spacing w:line="360" w:lineRule="auto"/>
        <w:ind w:firstLine="6"/>
        <w:textAlignment w:val="baseline"/>
        <w:rPr>
          <w:color w:val="auto"/>
          <w:kern w:val="0"/>
          <w:szCs w:val="21"/>
          <w:highlight w:val="none"/>
        </w:rPr>
      </w:pPr>
      <w:r>
        <w:rPr>
          <w:color w:val="auto"/>
          <w:kern w:val="0"/>
          <w:szCs w:val="21"/>
          <w:highlight w:val="none"/>
        </w:rPr>
        <w:t>未被列入失信被执行人、重大税收违法案件当事人、政府采购严重违法失信行为记录名单，以在“信用中国”网站（www.creditchina.gov.cn）和中国政府采购网（www.ccgp.gov.cn）查询的投标截止当天前三年内的信用记录为准。</w:t>
      </w:r>
    </w:p>
    <w:p>
      <w:pPr>
        <w:adjustRightInd w:val="0"/>
        <w:spacing w:line="360" w:lineRule="auto"/>
        <w:ind w:left="440"/>
        <w:textAlignment w:val="baseline"/>
        <w:rPr>
          <w:rFonts w:ascii="宋体" w:hAnsi="宋体"/>
          <w:b/>
          <w:color w:val="auto"/>
          <w:kern w:val="0"/>
          <w:szCs w:val="21"/>
          <w:highlight w:val="none"/>
        </w:rPr>
      </w:pPr>
      <w:r>
        <w:rPr>
          <w:rFonts w:hint="eastAsia" w:ascii="宋体" w:hAnsi="宋体"/>
          <w:b/>
          <w:color w:val="auto"/>
          <w:kern w:val="0"/>
          <w:szCs w:val="21"/>
          <w:highlight w:val="none"/>
        </w:rPr>
        <w:t xml:space="preserve">                                                                                                                                                                                         </w:t>
      </w:r>
    </w:p>
    <w:p>
      <w:pPr>
        <w:numPr>
          <w:ilvl w:val="0"/>
          <w:numId w:val="2"/>
        </w:numPr>
        <w:adjustRightInd w:val="0"/>
        <w:spacing w:line="360" w:lineRule="auto"/>
        <w:textAlignment w:val="baseline"/>
        <w:rPr>
          <w:rFonts w:ascii="宋体" w:hAnsi="宋体"/>
          <w:b/>
          <w:color w:val="auto"/>
          <w:kern w:val="0"/>
          <w:szCs w:val="21"/>
          <w:highlight w:val="none"/>
        </w:rPr>
      </w:pPr>
      <w:r>
        <w:rPr>
          <w:rFonts w:hint="eastAsia" w:ascii="宋体" w:hAnsi="宋体" w:cs="宋体"/>
          <w:b/>
          <w:color w:val="auto"/>
          <w:kern w:val="0"/>
          <w:szCs w:val="21"/>
          <w:highlight w:val="none"/>
        </w:rPr>
        <w:t>获取招标文件</w:t>
      </w:r>
    </w:p>
    <w:p>
      <w:pPr>
        <w:adjustRightInd w:val="0"/>
        <w:spacing w:line="360" w:lineRule="auto"/>
        <w:ind w:firstLine="422" w:firstLineChars="200"/>
        <w:textAlignment w:val="baseline"/>
        <w:rPr>
          <w:rFonts w:ascii="宋体" w:hAnsi="宋体" w:cs="宋体"/>
          <w:color w:val="auto"/>
          <w:kern w:val="0"/>
          <w:szCs w:val="21"/>
          <w:highlight w:val="none"/>
        </w:rPr>
      </w:pPr>
      <w:r>
        <w:rPr>
          <w:rFonts w:hint="eastAsia" w:ascii="宋体" w:hAnsi="宋体" w:cs="宋体"/>
          <w:b/>
          <w:color w:val="auto"/>
          <w:kern w:val="0"/>
          <w:szCs w:val="21"/>
          <w:highlight w:val="none"/>
        </w:rPr>
        <w:t>时间：</w:t>
      </w:r>
      <w:r>
        <w:rPr>
          <w:rFonts w:hint="eastAsia" w:ascii="宋体" w:hAnsi="宋体" w:cs="宋体"/>
          <w:color w:val="auto"/>
          <w:kern w:val="0"/>
          <w:szCs w:val="21"/>
          <w:highlight w:val="none"/>
          <w:u w:val="single"/>
          <w:lang w:val="en-US" w:eastAsia="zh-CN"/>
        </w:rPr>
        <w:t>2020</w:t>
      </w:r>
      <w:r>
        <w:rPr>
          <w:rFonts w:hint="eastAsia" w:ascii="宋体" w:hAnsi="宋体" w:cs="宋体"/>
          <w:color w:val="auto"/>
          <w:kern w:val="0"/>
          <w:szCs w:val="21"/>
          <w:highlight w:val="none"/>
          <w:u w:val="single"/>
        </w:rPr>
        <w:t>年</w:t>
      </w:r>
      <w:r>
        <w:rPr>
          <w:rFonts w:hint="eastAsia" w:ascii="宋体" w:hAnsi="宋体" w:cs="宋体"/>
          <w:color w:val="auto"/>
          <w:kern w:val="0"/>
          <w:szCs w:val="21"/>
          <w:highlight w:val="none"/>
          <w:u w:val="single"/>
          <w:lang w:val="en-US" w:eastAsia="zh-CN"/>
        </w:rPr>
        <w:t>9</w:t>
      </w:r>
      <w:r>
        <w:rPr>
          <w:rFonts w:hint="eastAsia" w:ascii="宋体" w:hAnsi="宋体" w:cs="宋体"/>
          <w:color w:val="auto"/>
          <w:kern w:val="0"/>
          <w:szCs w:val="21"/>
          <w:highlight w:val="none"/>
          <w:u w:val="single"/>
        </w:rPr>
        <w:t>月</w:t>
      </w:r>
      <w:r>
        <w:rPr>
          <w:rFonts w:hint="eastAsia" w:ascii="宋体" w:hAnsi="宋体" w:cs="宋体"/>
          <w:color w:val="auto"/>
          <w:kern w:val="0"/>
          <w:szCs w:val="21"/>
          <w:highlight w:val="none"/>
          <w:u w:val="single"/>
          <w:lang w:val="en-US" w:eastAsia="zh-CN"/>
        </w:rPr>
        <w:t>1</w:t>
      </w:r>
      <w:r>
        <w:rPr>
          <w:rFonts w:hint="eastAsia" w:ascii="宋体" w:hAnsi="宋体" w:cs="宋体"/>
          <w:color w:val="auto"/>
          <w:kern w:val="0"/>
          <w:szCs w:val="21"/>
          <w:highlight w:val="none"/>
          <w:u w:val="single"/>
        </w:rPr>
        <w:t>日</w:t>
      </w:r>
      <w:r>
        <w:rPr>
          <w:rFonts w:hint="eastAsia" w:ascii="宋体" w:hAnsi="宋体" w:cs="宋体"/>
          <w:color w:val="auto"/>
          <w:kern w:val="0"/>
          <w:szCs w:val="21"/>
          <w:highlight w:val="none"/>
        </w:rPr>
        <w:t>至</w:t>
      </w:r>
      <w:r>
        <w:rPr>
          <w:rFonts w:hint="eastAsia" w:ascii="宋体" w:hAnsi="宋体" w:cs="宋体"/>
          <w:color w:val="auto"/>
          <w:kern w:val="0"/>
          <w:szCs w:val="21"/>
          <w:highlight w:val="none"/>
          <w:u w:val="single"/>
          <w:lang w:val="en-US" w:eastAsia="zh-CN"/>
        </w:rPr>
        <w:t>2020</w:t>
      </w:r>
      <w:r>
        <w:rPr>
          <w:rFonts w:hint="eastAsia" w:ascii="宋体" w:hAnsi="宋体" w:cs="宋体"/>
          <w:color w:val="auto"/>
          <w:kern w:val="0"/>
          <w:szCs w:val="21"/>
          <w:highlight w:val="none"/>
          <w:u w:val="single"/>
        </w:rPr>
        <w:t>年</w:t>
      </w:r>
      <w:r>
        <w:rPr>
          <w:rFonts w:hint="eastAsia" w:ascii="宋体" w:hAnsi="宋体" w:cs="宋体"/>
          <w:color w:val="auto"/>
          <w:kern w:val="0"/>
          <w:szCs w:val="21"/>
          <w:highlight w:val="none"/>
          <w:u w:val="single"/>
          <w:lang w:val="en-US" w:eastAsia="zh-CN"/>
        </w:rPr>
        <w:t>9</w:t>
      </w:r>
      <w:r>
        <w:rPr>
          <w:rFonts w:hint="eastAsia" w:ascii="宋体" w:hAnsi="宋体" w:cs="宋体"/>
          <w:color w:val="auto"/>
          <w:kern w:val="0"/>
          <w:szCs w:val="21"/>
          <w:highlight w:val="none"/>
          <w:u w:val="single"/>
        </w:rPr>
        <w:t>月</w:t>
      </w:r>
      <w:r>
        <w:rPr>
          <w:rFonts w:hint="eastAsia" w:ascii="宋体" w:hAnsi="宋体" w:cs="宋体"/>
          <w:color w:val="auto"/>
          <w:kern w:val="0"/>
          <w:szCs w:val="21"/>
          <w:highlight w:val="none"/>
          <w:u w:val="single"/>
          <w:lang w:val="en-US" w:eastAsia="zh-CN"/>
        </w:rPr>
        <w:t>7</w:t>
      </w:r>
      <w:r>
        <w:rPr>
          <w:rFonts w:hint="eastAsia" w:ascii="宋体" w:hAnsi="宋体" w:cs="宋体"/>
          <w:color w:val="auto"/>
          <w:kern w:val="0"/>
          <w:szCs w:val="21"/>
          <w:highlight w:val="none"/>
          <w:u w:val="single"/>
        </w:rPr>
        <w:t>日</w:t>
      </w:r>
      <w:r>
        <w:rPr>
          <w:rFonts w:hint="eastAsia" w:ascii="宋体" w:hAnsi="宋体" w:cs="宋体"/>
          <w:color w:val="auto"/>
          <w:kern w:val="0"/>
          <w:szCs w:val="21"/>
          <w:highlight w:val="none"/>
        </w:rPr>
        <w:t>，每天</w:t>
      </w:r>
      <w:r>
        <w:rPr>
          <w:rFonts w:hint="eastAsia" w:ascii="宋体" w:hAnsi="宋体" w:cs="宋体"/>
          <w:color w:val="auto"/>
          <w:sz w:val="21"/>
          <w:szCs w:val="21"/>
          <w:highlight w:val="none"/>
        </w:rPr>
        <w:t>上午</w:t>
      </w:r>
      <w:r>
        <w:rPr>
          <w:rFonts w:hint="eastAsia" w:ascii="宋体" w:hAnsi="宋体" w:cs="宋体"/>
          <w:color w:val="auto"/>
          <w:sz w:val="21"/>
          <w:szCs w:val="21"/>
          <w:highlight w:val="none"/>
          <w:u w:val="single"/>
          <w:lang w:val="en-US" w:eastAsia="zh-CN"/>
        </w:rPr>
        <w:t>9:00</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lang w:val="en-US" w:eastAsia="zh-CN"/>
        </w:rPr>
        <w:t>11:30</w:t>
      </w:r>
      <w:r>
        <w:rPr>
          <w:rFonts w:hint="eastAsia" w:ascii="宋体" w:hAnsi="宋体" w:cs="宋体"/>
          <w:color w:val="auto"/>
          <w:sz w:val="21"/>
          <w:szCs w:val="21"/>
          <w:highlight w:val="none"/>
        </w:rPr>
        <w:t>，下午</w:t>
      </w:r>
      <w:r>
        <w:rPr>
          <w:rFonts w:hint="eastAsia" w:ascii="宋体" w:hAnsi="宋体" w:cs="宋体"/>
          <w:color w:val="auto"/>
          <w:sz w:val="21"/>
          <w:szCs w:val="21"/>
          <w:highlight w:val="none"/>
          <w:u w:val="single"/>
          <w:lang w:val="en-US" w:eastAsia="zh-CN"/>
        </w:rPr>
        <w:t>13:30</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lang w:val="en-US" w:eastAsia="zh-CN"/>
        </w:rPr>
        <w:t>16:30</w:t>
      </w:r>
      <w:r>
        <w:rPr>
          <w:rFonts w:hint="eastAsia" w:ascii="宋体" w:hAnsi="宋体" w:cs="宋体"/>
          <w:color w:val="auto"/>
          <w:sz w:val="21"/>
          <w:szCs w:val="21"/>
          <w:highlight w:val="none"/>
        </w:rPr>
        <w:t>（北京时间，</w:t>
      </w:r>
      <w:r>
        <w:rPr>
          <w:rFonts w:ascii="宋体" w:hAnsi="宋体" w:cs="宋体"/>
          <w:color w:val="auto"/>
          <w:sz w:val="21"/>
          <w:szCs w:val="21"/>
          <w:highlight w:val="none"/>
        </w:rPr>
        <w:t>法定节假日</w:t>
      </w:r>
      <w:r>
        <w:rPr>
          <w:rFonts w:hint="eastAsia" w:ascii="宋体" w:hAnsi="宋体" w:cs="宋体"/>
          <w:color w:val="auto"/>
          <w:sz w:val="21"/>
          <w:szCs w:val="21"/>
          <w:highlight w:val="none"/>
        </w:rPr>
        <w:t>除外）</w:t>
      </w:r>
    </w:p>
    <w:p>
      <w:pPr>
        <w:adjustRightInd w:val="0"/>
        <w:spacing w:line="360" w:lineRule="auto"/>
        <w:ind w:left="440"/>
        <w:textAlignment w:val="baseline"/>
        <w:rPr>
          <w:rFonts w:ascii="宋体" w:hAnsi="宋体" w:cs="宋体"/>
          <w:color w:val="auto"/>
          <w:kern w:val="0"/>
          <w:szCs w:val="21"/>
          <w:highlight w:val="none"/>
          <w:u w:val="single"/>
        </w:rPr>
      </w:pPr>
      <w:r>
        <w:rPr>
          <w:rFonts w:hint="eastAsia" w:ascii="宋体" w:hAnsi="宋体" w:cs="宋体"/>
          <w:b/>
          <w:color w:val="auto"/>
          <w:kern w:val="0"/>
          <w:szCs w:val="21"/>
          <w:highlight w:val="none"/>
        </w:rPr>
        <w:t>地点：</w:t>
      </w:r>
      <w:r>
        <w:rPr>
          <w:rFonts w:ascii="宋体" w:hAnsi="宋体"/>
          <w:color w:val="auto"/>
          <w:kern w:val="0"/>
          <w:szCs w:val="21"/>
          <w:highlight w:val="none"/>
        </w:rPr>
        <w:t>上海市浦东新区浦明路1229弄</w:t>
      </w:r>
      <w:r>
        <w:rPr>
          <w:rFonts w:hint="eastAsia" w:ascii="宋体" w:hAnsi="宋体"/>
          <w:color w:val="auto"/>
          <w:kern w:val="0"/>
          <w:szCs w:val="21"/>
          <w:highlight w:val="none"/>
        </w:rPr>
        <w:t>5楼</w:t>
      </w:r>
    </w:p>
    <w:p>
      <w:pPr>
        <w:adjustRightInd w:val="0"/>
        <w:spacing w:line="360" w:lineRule="auto"/>
        <w:ind w:firstLine="422" w:firstLineChars="200"/>
        <w:textAlignment w:val="baseline"/>
        <w:rPr>
          <w:rFonts w:ascii="宋体" w:hAnsi="宋体"/>
          <w:color w:val="auto"/>
          <w:kern w:val="0"/>
          <w:szCs w:val="21"/>
          <w:highlight w:val="none"/>
        </w:rPr>
      </w:pPr>
      <w:r>
        <w:rPr>
          <w:rFonts w:hint="eastAsia" w:ascii="宋体" w:hAnsi="宋体" w:cs="宋体"/>
          <w:b/>
          <w:color w:val="auto"/>
          <w:kern w:val="0"/>
          <w:szCs w:val="21"/>
          <w:highlight w:val="none"/>
        </w:rPr>
        <w:t>方式：</w:t>
      </w:r>
      <w:r>
        <w:rPr>
          <w:rFonts w:ascii="宋体" w:hAnsi="宋体"/>
          <w:color w:val="auto"/>
          <w:kern w:val="0"/>
          <w:szCs w:val="21"/>
          <w:highlight w:val="none"/>
        </w:rPr>
        <w:t>□</w:t>
      </w:r>
      <w:r>
        <w:rPr>
          <w:rFonts w:hint="eastAsia" w:ascii="宋体" w:hAnsi="宋体"/>
          <w:color w:val="auto"/>
          <w:kern w:val="0"/>
          <w:szCs w:val="21"/>
          <w:highlight w:val="none"/>
        </w:rPr>
        <w:t>凡有意参加本项目的投标人请于上述时间范围内委派授权代表至上述地点现场缴纳工本费并领取招标文件。</w:t>
      </w:r>
    </w:p>
    <w:p>
      <w:pPr>
        <w:adjustRightInd w:val="0"/>
        <w:spacing w:line="360" w:lineRule="auto"/>
        <w:ind w:firstLine="420" w:firstLineChars="200"/>
        <w:textAlignment w:val="baseline"/>
        <w:rPr>
          <w:rFonts w:ascii="宋体" w:hAnsi="宋体"/>
          <w:color w:val="auto"/>
          <w:kern w:val="0"/>
          <w:szCs w:val="21"/>
          <w:highlight w:val="none"/>
        </w:rPr>
      </w:pPr>
      <w:r>
        <w:rPr>
          <w:rFonts w:hint="eastAsia" w:ascii="宋体" w:hAnsi="宋体"/>
          <w:color w:val="auto"/>
          <w:szCs w:val="21"/>
          <w:highlight w:val="none"/>
        </w:rPr>
        <w:t>■</w:t>
      </w:r>
      <w:r>
        <w:rPr>
          <w:rFonts w:hint="eastAsia" w:ascii="宋体" w:hAnsi="宋体" w:cs="Calibri"/>
          <w:bCs/>
          <w:color w:val="auto"/>
          <w:kern w:val="0"/>
          <w:szCs w:val="21"/>
          <w:highlight w:val="none"/>
        </w:rPr>
        <w:t>投标人可选择银行转账或者支付宝支付工本费，付款时须备注单位名称和O</w:t>
      </w:r>
      <w:r>
        <w:rPr>
          <w:rFonts w:ascii="宋体" w:hAnsi="宋体" w:cs="Calibri"/>
          <w:bCs/>
          <w:color w:val="auto"/>
          <w:kern w:val="0"/>
          <w:szCs w:val="21"/>
          <w:highlight w:val="none"/>
        </w:rPr>
        <w:t>A</w:t>
      </w:r>
      <w:r>
        <w:rPr>
          <w:rFonts w:hint="eastAsia" w:ascii="宋体" w:hAnsi="宋体" w:cs="Calibri"/>
          <w:bCs/>
          <w:color w:val="auto"/>
          <w:kern w:val="0"/>
          <w:szCs w:val="21"/>
          <w:highlight w:val="none"/>
        </w:rPr>
        <w:t>号50551。</w:t>
      </w:r>
      <w:r>
        <w:rPr>
          <w:rFonts w:hint="eastAsia" w:ascii="宋体" w:hAnsi="宋体"/>
          <w:color w:val="auto"/>
          <w:kern w:val="0"/>
          <w:szCs w:val="21"/>
          <w:highlight w:val="none"/>
        </w:rPr>
        <w:t>支付成功后应及时联系本项目联系人，提供转账凭证并提供详细的开票信息和发票类型。支付宝支付的请仔细填写好详细开票地址并请提供电子邮箱及收件地址，电子发票开具成功后将发送至投标人提供的电子邮箱，请注意及时查收并自行下载。接收纸质版发票的，请提供收件人姓名、地址、联系电话。纸质发票或招标文件纸质版将快递到付。</w:t>
      </w:r>
    </w:p>
    <w:p>
      <w:pPr>
        <w:adjustRightInd w:val="0"/>
        <w:spacing w:line="360" w:lineRule="auto"/>
        <w:ind w:left="440"/>
        <w:textAlignment w:val="baseline"/>
        <w:rPr>
          <w:rFonts w:ascii="宋体" w:hAnsi="宋体" w:cs="宋体"/>
          <w:color w:val="auto"/>
          <w:kern w:val="0"/>
          <w:szCs w:val="21"/>
          <w:highlight w:val="none"/>
        </w:rPr>
      </w:pPr>
      <w:r>
        <w:rPr>
          <w:rFonts w:hint="eastAsia" w:ascii="宋体" w:hAnsi="宋体" w:cs="宋体"/>
          <w:b/>
          <w:color w:val="auto"/>
          <w:kern w:val="0"/>
          <w:szCs w:val="21"/>
          <w:highlight w:val="none"/>
        </w:rPr>
        <w:t>售价：</w:t>
      </w:r>
      <w:r>
        <w:rPr>
          <w:rFonts w:hint="eastAsia" w:ascii="宋体" w:hAnsi="宋体"/>
          <w:b/>
          <w:color w:val="auto"/>
          <w:kern w:val="0"/>
          <w:szCs w:val="21"/>
          <w:highlight w:val="none"/>
          <w:lang w:val="en-US" w:eastAsia="zh-CN"/>
        </w:rPr>
        <w:t>8</w:t>
      </w:r>
      <w:r>
        <w:rPr>
          <w:rFonts w:hint="eastAsia" w:ascii="宋体" w:hAnsi="宋体"/>
          <w:b/>
          <w:color w:val="auto"/>
          <w:kern w:val="0"/>
          <w:szCs w:val="21"/>
          <w:highlight w:val="none"/>
        </w:rPr>
        <w:t>00</w:t>
      </w:r>
      <w:r>
        <w:rPr>
          <w:rFonts w:hint="eastAsia" w:ascii="宋体" w:hAnsi="宋体"/>
          <w:color w:val="auto"/>
          <w:kern w:val="0"/>
          <w:szCs w:val="21"/>
          <w:highlight w:val="none"/>
        </w:rPr>
        <w:t>元/本/标段</w:t>
      </w:r>
    </w:p>
    <w:p>
      <w:pPr>
        <w:adjustRightInd w:val="0"/>
        <w:spacing w:line="360" w:lineRule="auto"/>
        <w:ind w:left="440"/>
        <w:textAlignment w:val="baseline"/>
        <w:rPr>
          <w:rFonts w:ascii="宋体" w:hAnsi="宋体"/>
          <w:b/>
          <w:color w:val="auto"/>
          <w:kern w:val="0"/>
          <w:szCs w:val="21"/>
          <w:highlight w:val="none"/>
        </w:rPr>
      </w:pPr>
    </w:p>
    <w:p>
      <w:pPr>
        <w:numPr>
          <w:ilvl w:val="0"/>
          <w:numId w:val="2"/>
        </w:numPr>
        <w:adjustRightInd w:val="0"/>
        <w:spacing w:line="360" w:lineRule="auto"/>
        <w:textAlignment w:val="baseline"/>
        <w:rPr>
          <w:rFonts w:ascii="宋体" w:hAnsi="宋体"/>
          <w:b/>
          <w:color w:val="auto"/>
          <w:kern w:val="0"/>
          <w:szCs w:val="21"/>
          <w:highlight w:val="none"/>
        </w:rPr>
      </w:pPr>
      <w:r>
        <w:rPr>
          <w:rFonts w:hint="eastAsia" w:ascii="宋体" w:hAnsi="宋体" w:cs="宋体"/>
          <w:b/>
          <w:color w:val="auto"/>
          <w:kern w:val="0"/>
          <w:szCs w:val="21"/>
          <w:highlight w:val="none"/>
        </w:rPr>
        <w:t>提交投标文件截止时间、开标时间和地点</w:t>
      </w:r>
    </w:p>
    <w:p>
      <w:pPr>
        <w:adjustRightInd w:val="0"/>
        <w:spacing w:line="360" w:lineRule="auto"/>
        <w:ind w:firstLine="420" w:firstLineChars="200"/>
        <w:textAlignment w:val="baseline"/>
        <w:rPr>
          <w:rFonts w:ascii="宋体" w:hAnsi="宋体"/>
          <w:bCs/>
          <w:color w:val="auto"/>
          <w:kern w:val="0"/>
          <w:szCs w:val="21"/>
          <w:highlight w:val="none"/>
          <w:u w:val="single"/>
        </w:rPr>
      </w:pPr>
      <w:r>
        <w:rPr>
          <w:rFonts w:hint="eastAsia" w:ascii="宋体" w:hAnsi="宋体"/>
          <w:bCs/>
          <w:color w:val="auto"/>
          <w:kern w:val="0"/>
          <w:szCs w:val="21"/>
          <w:highlight w:val="none"/>
          <w:u w:val="single"/>
          <w:lang w:val="en-US" w:eastAsia="zh-CN"/>
        </w:rPr>
        <w:t>2020</w:t>
      </w:r>
      <w:r>
        <w:rPr>
          <w:rFonts w:hint="eastAsia" w:ascii="宋体" w:hAnsi="宋体"/>
          <w:bCs/>
          <w:color w:val="auto"/>
          <w:kern w:val="0"/>
          <w:szCs w:val="21"/>
          <w:highlight w:val="none"/>
          <w:u w:val="single"/>
        </w:rPr>
        <w:t>年</w:t>
      </w:r>
      <w:r>
        <w:rPr>
          <w:rFonts w:hint="eastAsia" w:ascii="宋体" w:hAnsi="宋体"/>
          <w:bCs/>
          <w:color w:val="auto"/>
          <w:kern w:val="0"/>
          <w:szCs w:val="21"/>
          <w:highlight w:val="none"/>
          <w:u w:val="single"/>
          <w:lang w:val="en-US" w:eastAsia="zh-CN"/>
        </w:rPr>
        <w:t>9</w:t>
      </w:r>
      <w:r>
        <w:rPr>
          <w:rFonts w:hint="eastAsia" w:ascii="宋体" w:hAnsi="宋体"/>
          <w:bCs/>
          <w:color w:val="auto"/>
          <w:kern w:val="0"/>
          <w:szCs w:val="21"/>
          <w:highlight w:val="none"/>
          <w:u w:val="single"/>
        </w:rPr>
        <w:t>月</w:t>
      </w:r>
      <w:r>
        <w:rPr>
          <w:rFonts w:hint="eastAsia" w:ascii="宋体" w:hAnsi="宋体"/>
          <w:bCs/>
          <w:color w:val="auto"/>
          <w:kern w:val="0"/>
          <w:szCs w:val="21"/>
          <w:highlight w:val="none"/>
          <w:u w:val="single"/>
          <w:lang w:val="en-US" w:eastAsia="zh-CN"/>
        </w:rPr>
        <w:t>22</w:t>
      </w:r>
      <w:r>
        <w:rPr>
          <w:rFonts w:hint="eastAsia" w:ascii="宋体" w:hAnsi="宋体"/>
          <w:bCs/>
          <w:color w:val="auto"/>
          <w:kern w:val="0"/>
          <w:szCs w:val="21"/>
          <w:highlight w:val="none"/>
          <w:u w:val="single"/>
        </w:rPr>
        <w:t>日</w:t>
      </w:r>
      <w:r>
        <w:rPr>
          <w:rFonts w:hint="eastAsia" w:ascii="宋体" w:hAnsi="宋体"/>
          <w:bCs/>
          <w:color w:val="auto"/>
          <w:kern w:val="0"/>
          <w:szCs w:val="21"/>
          <w:highlight w:val="none"/>
          <w:u w:val="single"/>
          <w:lang w:val="en-US" w:eastAsia="zh-CN"/>
        </w:rPr>
        <w:t>10</w:t>
      </w:r>
      <w:r>
        <w:rPr>
          <w:rFonts w:hint="eastAsia" w:ascii="宋体" w:hAnsi="宋体"/>
          <w:bCs/>
          <w:color w:val="auto"/>
          <w:kern w:val="0"/>
          <w:szCs w:val="21"/>
          <w:highlight w:val="none"/>
          <w:u w:val="single"/>
        </w:rPr>
        <w:t xml:space="preserve">点 </w:t>
      </w:r>
      <w:r>
        <w:rPr>
          <w:rFonts w:hint="eastAsia" w:ascii="宋体" w:hAnsi="宋体"/>
          <w:bCs/>
          <w:color w:val="auto"/>
          <w:kern w:val="0"/>
          <w:szCs w:val="21"/>
          <w:highlight w:val="none"/>
          <w:u w:val="single"/>
          <w:lang w:val="en-US" w:eastAsia="zh-CN"/>
        </w:rPr>
        <w:t>00</w:t>
      </w:r>
      <w:r>
        <w:rPr>
          <w:rFonts w:hint="eastAsia" w:ascii="宋体" w:hAnsi="宋体"/>
          <w:bCs/>
          <w:color w:val="auto"/>
          <w:kern w:val="0"/>
          <w:szCs w:val="21"/>
          <w:highlight w:val="none"/>
          <w:u w:val="single"/>
        </w:rPr>
        <w:t>分</w:t>
      </w:r>
      <w:r>
        <w:rPr>
          <w:rFonts w:hint="eastAsia" w:ascii="宋体" w:hAnsi="宋体"/>
          <w:bCs/>
          <w:color w:val="auto"/>
          <w:kern w:val="0"/>
          <w:szCs w:val="21"/>
          <w:highlight w:val="none"/>
        </w:rPr>
        <w:t>（北京时间）</w:t>
      </w:r>
    </w:p>
    <w:p>
      <w:pPr>
        <w:adjustRightInd w:val="0"/>
        <w:spacing w:line="360" w:lineRule="auto"/>
        <w:ind w:left="440"/>
        <w:textAlignment w:val="baseline"/>
        <w:rPr>
          <w:rFonts w:ascii="宋体" w:hAnsi="宋体"/>
          <w:color w:val="auto"/>
          <w:kern w:val="0"/>
          <w:szCs w:val="21"/>
          <w:highlight w:val="none"/>
        </w:rPr>
      </w:pPr>
      <w:r>
        <w:rPr>
          <w:rFonts w:hint="eastAsia" w:ascii="宋体" w:hAnsi="宋体"/>
          <w:color w:val="auto"/>
          <w:kern w:val="0"/>
          <w:szCs w:val="21"/>
          <w:highlight w:val="none"/>
        </w:rPr>
        <w:t>地点：上海市浦东新区浦明路</w:t>
      </w:r>
      <w:r>
        <w:rPr>
          <w:rFonts w:ascii="宋体" w:hAnsi="宋体"/>
          <w:color w:val="auto"/>
          <w:kern w:val="0"/>
          <w:szCs w:val="21"/>
          <w:highlight w:val="none"/>
        </w:rPr>
        <w:t>1229弄5楼（具体会议室见当日指示牌）</w:t>
      </w:r>
    </w:p>
    <w:p>
      <w:pPr>
        <w:adjustRightInd w:val="0"/>
        <w:spacing w:line="360" w:lineRule="auto"/>
        <w:ind w:left="440"/>
        <w:textAlignment w:val="baseline"/>
        <w:rPr>
          <w:rFonts w:ascii="宋体" w:hAnsi="宋体"/>
          <w:color w:val="auto"/>
          <w:kern w:val="0"/>
          <w:szCs w:val="21"/>
          <w:highlight w:val="none"/>
        </w:rPr>
      </w:pPr>
    </w:p>
    <w:p>
      <w:pPr>
        <w:numPr>
          <w:ilvl w:val="0"/>
          <w:numId w:val="2"/>
        </w:numPr>
        <w:adjustRightInd w:val="0"/>
        <w:spacing w:line="360" w:lineRule="auto"/>
        <w:textAlignment w:val="baseline"/>
        <w:rPr>
          <w:rFonts w:ascii="宋体" w:hAnsi="宋体"/>
          <w:b/>
          <w:color w:val="auto"/>
          <w:kern w:val="0"/>
          <w:szCs w:val="21"/>
          <w:highlight w:val="none"/>
        </w:rPr>
      </w:pPr>
      <w:r>
        <w:rPr>
          <w:rFonts w:hint="eastAsia" w:ascii="宋体" w:hAnsi="宋体" w:cs="宋体"/>
          <w:b/>
          <w:color w:val="auto"/>
          <w:kern w:val="0"/>
          <w:szCs w:val="21"/>
          <w:highlight w:val="none"/>
        </w:rPr>
        <w:t>公告期限</w:t>
      </w:r>
    </w:p>
    <w:p>
      <w:pPr>
        <w:adjustRightInd w:val="0"/>
        <w:spacing w:line="360" w:lineRule="auto"/>
        <w:ind w:left="44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adjustRightInd w:val="0"/>
        <w:spacing w:line="360" w:lineRule="auto"/>
        <w:ind w:left="440"/>
        <w:textAlignment w:val="baseline"/>
        <w:rPr>
          <w:rFonts w:ascii="宋体" w:hAnsi="宋体" w:cs="宋体"/>
          <w:color w:val="auto"/>
          <w:kern w:val="0"/>
          <w:szCs w:val="21"/>
          <w:highlight w:val="none"/>
        </w:rPr>
      </w:pPr>
    </w:p>
    <w:p>
      <w:pPr>
        <w:numPr>
          <w:ilvl w:val="0"/>
          <w:numId w:val="2"/>
        </w:numPr>
        <w:adjustRightInd w:val="0"/>
        <w:spacing w:line="360" w:lineRule="auto"/>
        <w:textAlignment w:val="baseline"/>
        <w:rPr>
          <w:rFonts w:ascii="宋体" w:hAnsi="宋体"/>
          <w:b/>
          <w:color w:val="auto"/>
          <w:kern w:val="0"/>
          <w:szCs w:val="21"/>
          <w:highlight w:val="none"/>
        </w:rPr>
      </w:pPr>
      <w:r>
        <w:rPr>
          <w:rFonts w:hint="eastAsia" w:ascii="宋体" w:hAnsi="宋体" w:cs="宋体"/>
          <w:b/>
          <w:color w:val="auto"/>
          <w:kern w:val="0"/>
          <w:szCs w:val="21"/>
          <w:highlight w:val="none"/>
        </w:rPr>
        <w:t>其他补充事宜</w:t>
      </w:r>
    </w:p>
    <w:p>
      <w:pPr>
        <w:adjustRightInd w:val="0"/>
        <w:spacing w:line="360" w:lineRule="auto"/>
        <w:ind w:firstLine="420" w:firstLineChars="200"/>
        <w:textAlignment w:val="baseline"/>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.采购项目需要落实的政府采购政策情况：1）</w:t>
      </w:r>
      <w:r>
        <w:rPr>
          <w:rFonts w:hint="eastAsia" w:ascii="宋体" w:hAnsi="宋体"/>
          <w:color w:val="auto"/>
          <w:kern w:val="0"/>
          <w:szCs w:val="21"/>
          <w:highlight w:val="none"/>
        </w:rPr>
        <w:t>优先</w:t>
      </w:r>
      <w:r>
        <w:rPr>
          <w:rFonts w:ascii="宋体" w:hAnsi="宋体"/>
          <w:color w:val="auto"/>
          <w:kern w:val="0"/>
          <w:szCs w:val="21"/>
          <w:highlight w:val="none"/>
        </w:rPr>
        <w:t>采购节能</w:t>
      </w:r>
      <w:r>
        <w:rPr>
          <w:rFonts w:hint="eastAsia" w:ascii="宋体" w:hAnsi="宋体"/>
          <w:color w:val="auto"/>
          <w:kern w:val="0"/>
          <w:szCs w:val="21"/>
          <w:highlight w:val="none"/>
        </w:rPr>
        <w:t>环保</w:t>
      </w:r>
      <w:r>
        <w:rPr>
          <w:rFonts w:ascii="宋体" w:hAnsi="宋体"/>
          <w:color w:val="auto"/>
          <w:kern w:val="0"/>
          <w:szCs w:val="21"/>
          <w:highlight w:val="none"/>
        </w:rPr>
        <w:t>产品政策：在技术、服务等指标同等条件下，</w:t>
      </w:r>
      <w:r>
        <w:rPr>
          <w:rFonts w:hint="eastAsia" w:ascii="宋体" w:hAnsi="宋体"/>
          <w:color w:val="auto"/>
          <w:kern w:val="0"/>
          <w:szCs w:val="21"/>
          <w:highlight w:val="none"/>
        </w:rPr>
        <w:t>对财政部财库〔2019〕18号和财政部财库〔2019〕1</w:t>
      </w:r>
      <w:r>
        <w:rPr>
          <w:rFonts w:ascii="宋体" w:hAnsi="宋体"/>
          <w:color w:val="auto"/>
          <w:kern w:val="0"/>
          <w:szCs w:val="21"/>
          <w:highlight w:val="none"/>
        </w:rPr>
        <w:t>9</w:t>
      </w:r>
      <w:r>
        <w:rPr>
          <w:rFonts w:hint="eastAsia" w:ascii="宋体" w:hAnsi="宋体"/>
          <w:color w:val="auto"/>
          <w:kern w:val="0"/>
          <w:szCs w:val="21"/>
          <w:highlight w:val="none"/>
        </w:rPr>
        <w:t>号文</w:t>
      </w:r>
      <w:r>
        <w:rPr>
          <w:rFonts w:ascii="宋体" w:hAnsi="宋体"/>
          <w:color w:val="auto"/>
          <w:kern w:val="0"/>
          <w:szCs w:val="21"/>
          <w:highlight w:val="none"/>
        </w:rPr>
        <w:t>公布的节能</w:t>
      </w:r>
      <w:r>
        <w:rPr>
          <w:rFonts w:hint="eastAsia" w:ascii="宋体" w:hAnsi="宋体"/>
          <w:color w:val="auto"/>
          <w:kern w:val="0"/>
          <w:szCs w:val="21"/>
          <w:highlight w:val="none"/>
        </w:rPr>
        <w:t>环保产品品目</w:t>
      </w:r>
      <w:r>
        <w:rPr>
          <w:rFonts w:ascii="宋体" w:hAnsi="宋体"/>
          <w:color w:val="auto"/>
          <w:kern w:val="0"/>
          <w:szCs w:val="21"/>
          <w:highlight w:val="none"/>
        </w:rPr>
        <w:t>清单中</w:t>
      </w:r>
      <w:r>
        <w:rPr>
          <w:rFonts w:hint="eastAsia" w:ascii="宋体" w:hAnsi="宋体"/>
          <w:color w:val="auto"/>
          <w:kern w:val="0"/>
          <w:szCs w:val="21"/>
          <w:highlight w:val="none"/>
        </w:rPr>
        <w:t>的</w:t>
      </w:r>
      <w:r>
        <w:rPr>
          <w:rFonts w:ascii="宋体" w:hAnsi="宋体"/>
          <w:color w:val="auto"/>
          <w:kern w:val="0"/>
          <w:szCs w:val="21"/>
          <w:highlight w:val="none"/>
        </w:rPr>
        <w:t>产品</w:t>
      </w:r>
      <w:r>
        <w:rPr>
          <w:rFonts w:hint="eastAsia" w:ascii="宋体" w:hAnsi="宋体"/>
          <w:color w:val="auto"/>
          <w:kern w:val="0"/>
          <w:szCs w:val="21"/>
          <w:highlight w:val="none"/>
        </w:rPr>
        <w:t>实行优先采购；对节能产品品目清单</w:t>
      </w:r>
      <w:r>
        <w:rPr>
          <w:rFonts w:ascii="宋体" w:hAnsi="宋体"/>
          <w:color w:val="auto"/>
          <w:kern w:val="0"/>
          <w:szCs w:val="21"/>
          <w:highlight w:val="none"/>
        </w:rPr>
        <w:t>中以“★”标注</w:t>
      </w:r>
      <w:r>
        <w:rPr>
          <w:rFonts w:hint="eastAsia" w:ascii="宋体" w:hAnsi="宋体"/>
          <w:color w:val="auto"/>
          <w:kern w:val="0"/>
          <w:szCs w:val="21"/>
          <w:highlight w:val="none"/>
        </w:rPr>
        <w:t>的产品，实行强制采购。投标人须提供具有国家确定的认证机构出具的、处于有效期之内的认证证书方能享受优先采购或强制采购政策</w:t>
      </w:r>
      <w:r>
        <w:rPr>
          <w:rFonts w:ascii="宋体" w:hAnsi="宋体"/>
          <w:color w:val="auto"/>
          <w:kern w:val="0"/>
          <w:szCs w:val="21"/>
          <w:highlight w:val="none"/>
        </w:rPr>
        <w:t>。2）扶持中小企业、促进残疾人就业政策：评审时</w:t>
      </w:r>
      <w:r>
        <w:rPr>
          <w:rFonts w:hint="eastAsia" w:ascii="宋体" w:hAnsi="宋体"/>
          <w:color w:val="auto"/>
          <w:kern w:val="0"/>
          <w:szCs w:val="21"/>
          <w:highlight w:val="none"/>
        </w:rPr>
        <w:t>，</w:t>
      </w:r>
      <w:r>
        <w:rPr>
          <w:rFonts w:ascii="宋体" w:hAnsi="宋体"/>
          <w:color w:val="auto"/>
          <w:kern w:val="0"/>
          <w:szCs w:val="21"/>
          <w:highlight w:val="none"/>
        </w:rPr>
        <w:t>小型和微型企业产品享受6%的价格折扣</w:t>
      </w:r>
      <w:r>
        <w:rPr>
          <w:rFonts w:hint="eastAsia" w:ascii="宋体" w:hAnsi="宋体"/>
          <w:color w:val="auto"/>
          <w:kern w:val="0"/>
          <w:szCs w:val="21"/>
          <w:highlight w:val="none"/>
        </w:rPr>
        <w:t>；</w:t>
      </w:r>
      <w:r>
        <w:rPr>
          <w:rFonts w:ascii="宋体" w:hAnsi="宋体"/>
          <w:color w:val="auto"/>
          <w:kern w:val="0"/>
          <w:szCs w:val="21"/>
          <w:highlight w:val="none"/>
        </w:rPr>
        <w:t>监狱企业、残疾人福利性单位视同小型、微型企业。</w:t>
      </w:r>
    </w:p>
    <w:p>
      <w:pPr>
        <w:adjustRightInd w:val="0"/>
        <w:spacing w:line="360" w:lineRule="auto"/>
        <w:ind w:firstLine="420" w:firstLineChars="200"/>
        <w:textAlignment w:val="baseline"/>
        <w:rPr>
          <w:rFonts w:ascii="宋体" w:hAnsi="宋体"/>
          <w:b/>
          <w:color w:val="auto"/>
          <w:kern w:val="0"/>
          <w:szCs w:val="21"/>
          <w:highlight w:val="none"/>
          <w:lang w:val="zh-CN"/>
        </w:rPr>
      </w:pPr>
      <w:r>
        <w:rPr>
          <w:rFonts w:hint="eastAsia" w:ascii="宋体" w:hAnsi="宋体"/>
          <w:color w:val="auto"/>
          <w:kern w:val="0"/>
          <w:szCs w:val="21"/>
          <w:highlight w:val="none"/>
          <w:lang w:val="zh-CN"/>
        </w:rPr>
        <w:t>2</w:t>
      </w:r>
      <w:r>
        <w:rPr>
          <w:rFonts w:ascii="宋体" w:hAnsi="宋体"/>
          <w:color w:val="auto"/>
          <w:kern w:val="0"/>
          <w:szCs w:val="21"/>
          <w:highlight w:val="none"/>
          <w:lang w:val="zh-CN"/>
        </w:rPr>
        <w:t>.</w:t>
      </w:r>
      <w:r>
        <w:rPr>
          <w:rFonts w:hint="eastAsia" w:ascii="宋体" w:hAnsi="宋体"/>
          <w:color w:val="auto"/>
          <w:kern w:val="0"/>
          <w:szCs w:val="21"/>
          <w:highlight w:val="none"/>
          <w:lang w:val="zh-CN"/>
        </w:rPr>
        <w:t>公告发布媒体：</w:t>
      </w:r>
      <w:r>
        <w:rPr>
          <w:rFonts w:ascii="宋体" w:hAnsi="宋体"/>
          <w:color w:val="auto"/>
          <w:kern w:val="0"/>
          <w:szCs w:val="21"/>
          <w:highlight w:val="none"/>
        </w:rPr>
        <w:t>以上信息若有变更我们会通过“</w:t>
      </w:r>
      <w:r>
        <w:rPr>
          <w:rFonts w:hint="eastAsia" w:ascii="宋体" w:hAnsi="宋体"/>
          <w:color w:val="auto"/>
          <w:kern w:val="0"/>
          <w:szCs w:val="21"/>
          <w:highlight w:val="none"/>
        </w:rPr>
        <w:t>中国</w:t>
      </w:r>
      <w:r>
        <w:rPr>
          <w:rFonts w:ascii="宋体" w:hAnsi="宋体"/>
          <w:color w:val="auto"/>
          <w:kern w:val="0"/>
          <w:szCs w:val="21"/>
          <w:highlight w:val="none"/>
        </w:rPr>
        <w:t>政府采购网”</w:t>
      </w:r>
      <w:r>
        <w:rPr>
          <w:rFonts w:ascii="宋体" w:hAnsi="宋体"/>
          <w:color w:val="auto"/>
          <w:kern w:val="0"/>
          <w:sz w:val="24"/>
          <w:szCs w:val="20"/>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lang w:val="en-US" w:eastAsia="zh-CN"/>
        </w:rPr>
        <w:t>中国招标投标公共服务平台</w:t>
      </w:r>
      <w:r>
        <w:rPr>
          <w:rFonts w:ascii="宋体" w:hAnsi="宋体"/>
          <w:color w:val="auto"/>
          <w:kern w:val="0"/>
          <w:szCs w:val="21"/>
          <w:highlight w:val="none"/>
        </w:rPr>
        <w:t>”通知，请投标人关注。</w:t>
      </w:r>
    </w:p>
    <w:p>
      <w:pPr>
        <w:adjustRightInd w:val="0"/>
        <w:spacing w:line="360" w:lineRule="auto"/>
        <w:ind w:firstLine="420" w:firstLineChars="200"/>
        <w:textAlignment w:val="baseline"/>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.开户银行：上海银行蓝村支行</w:t>
      </w:r>
      <w:r>
        <w:rPr>
          <w:rFonts w:hint="eastAsia" w:ascii="宋体" w:hAnsi="宋体"/>
          <w:color w:val="auto"/>
          <w:kern w:val="0"/>
          <w:szCs w:val="21"/>
          <w:highlight w:val="none"/>
        </w:rPr>
        <w:t>；</w:t>
      </w:r>
      <w:r>
        <w:rPr>
          <w:rFonts w:ascii="宋体" w:hAnsi="宋体"/>
          <w:color w:val="auto"/>
          <w:kern w:val="0"/>
          <w:szCs w:val="21"/>
          <w:highlight w:val="none"/>
        </w:rPr>
        <w:t>账户：上海百通项目管理咨询有限公司</w:t>
      </w:r>
      <w:r>
        <w:rPr>
          <w:rFonts w:hint="eastAsia" w:ascii="宋体" w:hAnsi="宋体"/>
          <w:color w:val="auto"/>
          <w:kern w:val="0"/>
          <w:szCs w:val="21"/>
          <w:highlight w:val="none"/>
        </w:rPr>
        <w:t>；</w:t>
      </w:r>
      <w:r>
        <w:rPr>
          <w:rFonts w:ascii="宋体" w:hAnsi="宋体"/>
          <w:color w:val="auto"/>
          <w:kern w:val="0"/>
          <w:szCs w:val="21"/>
          <w:highlight w:val="none"/>
        </w:rPr>
        <w:t>账号：3169 7100 0067 41975</w:t>
      </w:r>
      <w:r>
        <w:rPr>
          <w:rFonts w:hint="eastAsia" w:ascii="宋体" w:hAnsi="宋体"/>
          <w:color w:val="auto"/>
          <w:kern w:val="0"/>
          <w:szCs w:val="21"/>
          <w:highlight w:val="none"/>
        </w:rPr>
        <w:t>。</w:t>
      </w:r>
    </w:p>
    <w:p>
      <w:pPr>
        <w:adjustRightInd w:val="0"/>
        <w:spacing w:line="360" w:lineRule="auto"/>
        <w:ind w:firstLine="420" w:firstLineChars="200"/>
        <w:textAlignment w:val="baseline"/>
        <w:rPr>
          <w:rFonts w:ascii="宋体" w:hAnsi="宋体"/>
          <w:color w:val="auto"/>
          <w:kern w:val="0"/>
          <w:szCs w:val="21"/>
          <w:highlight w:val="none"/>
        </w:rPr>
      </w:pPr>
      <w:r>
        <w:rPr>
          <w:rFonts w:hint="eastAsia" w:ascii="宋体" w:hAnsi="宋体"/>
          <w:color w:val="auto"/>
          <w:kern w:val="0"/>
          <w:szCs w:val="21"/>
          <w:highlight w:val="none"/>
        </w:rPr>
        <w:t>4</w:t>
      </w:r>
      <w:r>
        <w:rPr>
          <w:rFonts w:ascii="宋体" w:hAnsi="宋体"/>
          <w:color w:val="auto"/>
          <w:kern w:val="0"/>
          <w:szCs w:val="21"/>
          <w:highlight w:val="none"/>
        </w:rPr>
        <w:t>.</w:t>
      </w:r>
      <w:r>
        <w:rPr>
          <w:rFonts w:hint="eastAsia" w:ascii="宋体" w:hAnsi="宋体"/>
          <w:color w:val="auto"/>
          <w:kern w:val="0"/>
          <w:szCs w:val="21"/>
          <w:highlight w:val="none"/>
        </w:rPr>
        <w:t>支付宝二维码：</w:t>
      </w:r>
      <w:r>
        <w:drawing>
          <wp:inline distT="0" distB="0" distL="114300" distR="114300">
            <wp:extent cx="1463040" cy="147828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3"/>
                    <a:stretch>
                      <a:fillRect/>
                    </a:stretch>
                  </pic:blipFill>
                  <pic:spPr>
                    <a:xfrm>
                      <a:off x="0" y="0"/>
                      <a:ext cx="1463040" cy="1478280"/>
                    </a:xfrm>
                    <a:prstGeom prst="rect">
                      <a:avLst/>
                    </a:prstGeom>
                    <a:noFill/>
                    <a:ln>
                      <a:noFill/>
                    </a:ln>
                  </pic:spPr>
                </pic:pic>
              </a:graphicData>
            </a:graphic>
          </wp:inline>
        </w:drawing>
      </w:r>
      <w:bookmarkStart w:id="274" w:name="_GoBack"/>
      <w:bookmarkEnd w:id="274"/>
    </w:p>
    <w:p>
      <w:pPr>
        <w:adjustRightInd w:val="0"/>
        <w:spacing w:line="360" w:lineRule="auto"/>
        <w:textAlignment w:val="baseline"/>
        <w:rPr>
          <w:rFonts w:ascii="宋体" w:hAnsi="宋体"/>
          <w:b/>
          <w:color w:val="auto"/>
          <w:kern w:val="0"/>
          <w:szCs w:val="21"/>
          <w:highlight w:val="none"/>
        </w:rPr>
      </w:pPr>
    </w:p>
    <w:p>
      <w:pPr>
        <w:numPr>
          <w:ilvl w:val="0"/>
          <w:numId w:val="2"/>
        </w:numPr>
        <w:adjustRightInd w:val="0"/>
        <w:spacing w:line="360" w:lineRule="auto"/>
        <w:textAlignment w:val="baseline"/>
        <w:rPr>
          <w:rFonts w:ascii="宋体" w:hAnsi="宋体"/>
          <w:b/>
          <w:color w:val="auto"/>
          <w:kern w:val="0"/>
          <w:szCs w:val="21"/>
          <w:highlight w:val="none"/>
        </w:rPr>
      </w:pPr>
      <w:r>
        <w:rPr>
          <w:rFonts w:hint="eastAsia" w:ascii="宋体" w:hAnsi="宋体" w:cs="宋体"/>
          <w:b/>
          <w:color w:val="auto"/>
          <w:kern w:val="0"/>
          <w:szCs w:val="21"/>
          <w:highlight w:val="none"/>
        </w:rPr>
        <w:t>对本次招标提出询问，请按以下方式联系。</w:t>
      </w:r>
    </w:p>
    <w:p>
      <w:pPr>
        <w:widowControl/>
        <w:adjustRightInd w:val="0"/>
        <w:spacing w:line="360" w:lineRule="auto"/>
        <w:jc w:val="left"/>
        <w:textAlignment w:val="baseline"/>
        <w:rPr>
          <w:rFonts w:ascii="宋体" w:hAnsi="宋体"/>
          <w:b/>
          <w:color w:val="auto"/>
          <w:kern w:val="0"/>
          <w:szCs w:val="21"/>
          <w:highlight w:val="none"/>
        </w:rPr>
      </w:pPr>
      <w:r>
        <w:rPr>
          <w:rFonts w:hint="eastAsia" w:ascii="宋体" w:hAnsi="宋体" w:cs="宋体"/>
          <w:b/>
          <w:color w:val="auto"/>
          <w:kern w:val="0"/>
          <w:szCs w:val="21"/>
          <w:highlight w:val="none"/>
        </w:rPr>
        <w:t>1.采购人信息</w:t>
      </w:r>
    </w:p>
    <w:p>
      <w:pPr>
        <w:adjustRightInd w:val="0"/>
        <w:spacing w:line="360" w:lineRule="auto"/>
        <w:ind w:firstLine="211" w:firstLineChars="100"/>
        <w:jc w:val="left"/>
        <w:textAlignment w:val="baseline"/>
        <w:rPr>
          <w:rFonts w:ascii="宋体" w:hAnsi="宋体"/>
          <w:b/>
          <w:color w:val="auto"/>
          <w:kern w:val="0"/>
          <w:szCs w:val="21"/>
          <w:highlight w:val="none"/>
        </w:rPr>
      </w:pPr>
      <w:r>
        <w:rPr>
          <w:rFonts w:hint="eastAsia" w:ascii="宋体" w:hAnsi="宋体"/>
          <w:b/>
          <w:color w:val="auto"/>
          <w:kern w:val="0"/>
          <w:szCs w:val="21"/>
          <w:highlight w:val="none"/>
        </w:rPr>
        <w:t>名称</w:t>
      </w:r>
      <w:r>
        <w:rPr>
          <w:rFonts w:hint="eastAsia" w:ascii="宋体" w:hAnsi="宋体"/>
          <w:color w:val="auto"/>
          <w:kern w:val="0"/>
          <w:szCs w:val="21"/>
          <w:highlight w:val="none"/>
        </w:rPr>
        <w:t>：</w:t>
      </w:r>
      <w:r>
        <w:rPr>
          <w:rFonts w:hint="eastAsia" w:ascii="宋体" w:hAnsi="宋体"/>
          <w:color w:val="auto"/>
          <w:szCs w:val="21"/>
          <w:highlight w:val="none"/>
        </w:rPr>
        <w:t>上海市养志康复医院（上海市阳光康复中心）</w:t>
      </w:r>
    </w:p>
    <w:p>
      <w:pPr>
        <w:adjustRightInd w:val="0"/>
        <w:spacing w:line="360" w:lineRule="auto"/>
        <w:ind w:firstLine="211" w:firstLineChars="100"/>
        <w:jc w:val="left"/>
        <w:textAlignment w:val="baseline"/>
        <w:rPr>
          <w:rFonts w:ascii="宋体" w:hAnsi="宋体"/>
          <w:color w:val="auto"/>
          <w:kern w:val="0"/>
          <w:szCs w:val="21"/>
          <w:highlight w:val="none"/>
        </w:rPr>
      </w:pPr>
      <w:r>
        <w:rPr>
          <w:rFonts w:hint="eastAsia" w:ascii="宋体" w:hAnsi="宋体"/>
          <w:b/>
          <w:color w:val="auto"/>
          <w:kern w:val="0"/>
          <w:szCs w:val="21"/>
          <w:highlight w:val="none"/>
        </w:rPr>
        <w:t>地址</w:t>
      </w:r>
      <w:r>
        <w:rPr>
          <w:rFonts w:hint="eastAsia" w:ascii="宋体" w:hAnsi="宋体"/>
          <w:color w:val="auto"/>
          <w:kern w:val="0"/>
          <w:szCs w:val="21"/>
          <w:highlight w:val="none"/>
        </w:rPr>
        <w:t>：</w:t>
      </w:r>
      <w:r>
        <w:rPr>
          <w:rFonts w:hint="eastAsia" w:ascii="宋体" w:hAnsi="宋体"/>
          <w:color w:val="auto"/>
          <w:szCs w:val="21"/>
          <w:highlight w:val="none"/>
        </w:rPr>
        <w:t>上海市松江区银泽路828号</w:t>
      </w:r>
    </w:p>
    <w:p>
      <w:pPr>
        <w:adjustRightInd w:val="0"/>
        <w:spacing w:line="360" w:lineRule="auto"/>
        <w:ind w:firstLine="211" w:firstLineChars="100"/>
        <w:jc w:val="left"/>
        <w:textAlignment w:val="baseline"/>
        <w:rPr>
          <w:rFonts w:ascii="宋体" w:hAnsi="宋体"/>
          <w:color w:val="auto"/>
          <w:kern w:val="0"/>
          <w:szCs w:val="21"/>
          <w:highlight w:val="none"/>
          <w:u w:val="single"/>
        </w:rPr>
      </w:pPr>
      <w:r>
        <w:rPr>
          <w:rFonts w:hint="eastAsia" w:ascii="宋体" w:hAnsi="宋体"/>
          <w:b/>
          <w:color w:val="auto"/>
          <w:kern w:val="0"/>
          <w:szCs w:val="21"/>
          <w:highlight w:val="none"/>
        </w:rPr>
        <w:t>联系方式</w:t>
      </w:r>
      <w:r>
        <w:rPr>
          <w:rFonts w:hint="eastAsia" w:ascii="宋体" w:hAnsi="宋体"/>
          <w:color w:val="auto"/>
          <w:kern w:val="0"/>
          <w:szCs w:val="21"/>
          <w:highlight w:val="none"/>
        </w:rPr>
        <w:t>：</w:t>
      </w:r>
      <w:bookmarkStart w:id="9" w:name="_Toc28359086"/>
      <w:bookmarkStart w:id="10" w:name="_Toc28359009"/>
      <w:r>
        <w:rPr>
          <w:rFonts w:hint="eastAsia" w:ascii="宋体" w:hAnsi="宋体"/>
          <w:color w:val="auto"/>
          <w:szCs w:val="21"/>
          <w:highlight w:val="none"/>
        </w:rPr>
        <w:t>021-37730011-125</w:t>
      </w:r>
    </w:p>
    <w:p>
      <w:pPr>
        <w:adjustRightInd w:val="0"/>
        <w:spacing w:line="360" w:lineRule="auto"/>
        <w:jc w:val="left"/>
        <w:textAlignment w:val="baseline"/>
        <w:rPr>
          <w:rFonts w:ascii="宋体" w:hAnsi="宋体"/>
          <w:color w:val="auto"/>
          <w:kern w:val="0"/>
          <w:szCs w:val="21"/>
          <w:highlight w:val="none"/>
        </w:rPr>
      </w:pPr>
      <w:r>
        <w:rPr>
          <w:rFonts w:hint="eastAsia" w:ascii="宋体" w:hAnsi="宋体" w:cs="宋体"/>
          <w:b/>
          <w:color w:val="auto"/>
          <w:kern w:val="0"/>
          <w:szCs w:val="21"/>
          <w:highlight w:val="none"/>
        </w:rPr>
        <w:t>2.采购代理机构信息</w:t>
      </w:r>
      <w:bookmarkEnd w:id="9"/>
      <w:bookmarkEnd w:id="10"/>
    </w:p>
    <w:p>
      <w:pPr>
        <w:adjustRightInd w:val="0"/>
        <w:spacing w:line="360" w:lineRule="auto"/>
        <w:ind w:firstLine="211" w:firstLineChars="100"/>
        <w:textAlignment w:val="baseline"/>
        <w:rPr>
          <w:rFonts w:ascii="宋体" w:hAnsi="宋体"/>
          <w:color w:val="auto"/>
          <w:kern w:val="0"/>
          <w:szCs w:val="21"/>
          <w:highlight w:val="none"/>
        </w:rPr>
      </w:pPr>
      <w:r>
        <w:rPr>
          <w:rFonts w:hint="eastAsia" w:ascii="宋体" w:hAnsi="宋体"/>
          <w:b/>
          <w:color w:val="auto"/>
          <w:kern w:val="0"/>
          <w:szCs w:val="21"/>
          <w:highlight w:val="none"/>
        </w:rPr>
        <w:t>名称</w:t>
      </w:r>
      <w:r>
        <w:rPr>
          <w:rFonts w:hint="eastAsia" w:ascii="宋体" w:hAnsi="宋体"/>
          <w:color w:val="auto"/>
          <w:kern w:val="0"/>
          <w:szCs w:val="21"/>
          <w:highlight w:val="none"/>
        </w:rPr>
        <w:t>：</w:t>
      </w:r>
      <w:r>
        <w:rPr>
          <w:rFonts w:ascii="宋体" w:hAnsi="宋体"/>
          <w:color w:val="auto"/>
          <w:kern w:val="0"/>
          <w:szCs w:val="21"/>
          <w:highlight w:val="none"/>
        </w:rPr>
        <w:t>上海百通项目管理咨询有限公司</w:t>
      </w:r>
    </w:p>
    <w:p>
      <w:pPr>
        <w:adjustRightInd w:val="0"/>
        <w:spacing w:line="360" w:lineRule="auto"/>
        <w:ind w:firstLine="211" w:firstLineChars="100"/>
        <w:textAlignment w:val="baseline"/>
        <w:rPr>
          <w:rFonts w:ascii="宋体" w:hAnsi="宋体"/>
          <w:color w:val="auto"/>
          <w:kern w:val="0"/>
          <w:szCs w:val="21"/>
          <w:highlight w:val="none"/>
        </w:rPr>
      </w:pPr>
      <w:r>
        <w:rPr>
          <w:rFonts w:hint="eastAsia" w:ascii="宋体" w:hAnsi="宋体"/>
          <w:b/>
          <w:color w:val="auto"/>
          <w:kern w:val="0"/>
          <w:szCs w:val="21"/>
          <w:highlight w:val="none"/>
        </w:rPr>
        <w:t>地址</w:t>
      </w:r>
      <w:r>
        <w:rPr>
          <w:rFonts w:hint="eastAsia" w:ascii="宋体" w:hAnsi="宋体"/>
          <w:color w:val="auto"/>
          <w:kern w:val="0"/>
          <w:szCs w:val="21"/>
          <w:highlight w:val="none"/>
        </w:rPr>
        <w:t>：</w:t>
      </w:r>
      <w:r>
        <w:rPr>
          <w:rFonts w:ascii="宋体" w:hAnsi="宋体"/>
          <w:color w:val="auto"/>
          <w:kern w:val="0"/>
          <w:szCs w:val="21"/>
          <w:highlight w:val="none"/>
        </w:rPr>
        <w:t>上海市浦东新区浦明路1229弄5楼</w:t>
      </w:r>
    </w:p>
    <w:p>
      <w:pPr>
        <w:adjustRightInd w:val="0"/>
        <w:spacing w:line="360" w:lineRule="auto"/>
        <w:ind w:firstLine="211" w:firstLineChars="100"/>
        <w:textAlignment w:val="baseline"/>
        <w:rPr>
          <w:rFonts w:hint="default" w:ascii="宋体" w:hAnsi="宋体" w:eastAsia="宋体"/>
          <w:color w:val="auto"/>
          <w:kern w:val="0"/>
          <w:szCs w:val="21"/>
          <w:highlight w:val="none"/>
          <w:lang w:val="en-US" w:eastAsia="zh-CN"/>
        </w:rPr>
      </w:pPr>
      <w:r>
        <w:rPr>
          <w:rFonts w:hint="eastAsia" w:ascii="宋体" w:hAnsi="宋体"/>
          <w:b/>
          <w:color w:val="auto"/>
          <w:kern w:val="0"/>
          <w:szCs w:val="21"/>
          <w:highlight w:val="none"/>
        </w:rPr>
        <w:t>联系方式</w:t>
      </w:r>
      <w:r>
        <w:rPr>
          <w:rFonts w:hint="eastAsia" w:ascii="宋体" w:hAnsi="宋体"/>
          <w:color w:val="auto"/>
          <w:kern w:val="0"/>
          <w:szCs w:val="21"/>
          <w:highlight w:val="none"/>
        </w:rPr>
        <w:t>：</w:t>
      </w:r>
      <w:bookmarkStart w:id="11" w:name="_Toc28359010"/>
      <w:bookmarkStart w:id="12" w:name="_Toc28359087"/>
      <w:r>
        <w:rPr>
          <w:rFonts w:hint="eastAsia" w:ascii="宋体" w:hAnsi="宋体"/>
          <w:color w:val="auto"/>
          <w:kern w:val="0"/>
          <w:szCs w:val="21"/>
          <w:highlight w:val="none"/>
          <w:u w:val="none"/>
          <w:lang w:val="en-US" w:eastAsia="zh-CN"/>
        </w:rPr>
        <w:t>18918301729</w:t>
      </w:r>
    </w:p>
    <w:p>
      <w:pPr>
        <w:adjustRightInd w:val="0"/>
        <w:spacing w:line="360" w:lineRule="auto"/>
        <w:textAlignment w:val="baseline"/>
        <w:rPr>
          <w:rFonts w:ascii="宋体" w:hAnsi="宋体"/>
          <w:b/>
          <w:color w:val="auto"/>
          <w:kern w:val="0"/>
          <w:szCs w:val="21"/>
          <w:highlight w:val="none"/>
          <w:u w:val="single"/>
        </w:rPr>
      </w:pPr>
      <w:r>
        <w:rPr>
          <w:rFonts w:hint="eastAsia" w:ascii="宋体" w:hAnsi="宋体" w:cs="宋体"/>
          <w:b/>
          <w:color w:val="auto"/>
          <w:kern w:val="0"/>
          <w:szCs w:val="21"/>
          <w:highlight w:val="none"/>
        </w:rPr>
        <w:t>3.项目</w:t>
      </w:r>
      <w:r>
        <w:rPr>
          <w:rFonts w:ascii="宋体" w:hAnsi="宋体" w:cs="宋体"/>
          <w:b/>
          <w:color w:val="auto"/>
          <w:kern w:val="0"/>
          <w:szCs w:val="21"/>
          <w:highlight w:val="none"/>
        </w:rPr>
        <w:t>联系方式</w:t>
      </w:r>
      <w:bookmarkEnd w:id="11"/>
      <w:bookmarkEnd w:id="12"/>
    </w:p>
    <w:p>
      <w:pPr>
        <w:spacing w:line="360" w:lineRule="auto"/>
        <w:ind w:firstLine="211" w:firstLineChars="100"/>
        <w:rPr>
          <w:rFonts w:hint="eastAsia" w:ascii="宋体" w:hAnsi="宋体" w:eastAsia="宋体"/>
          <w:color w:val="auto"/>
          <w:szCs w:val="21"/>
          <w:highlight w:val="none"/>
          <w:lang w:eastAsia="zh-CN"/>
        </w:rPr>
      </w:pPr>
      <w:r>
        <w:rPr>
          <w:rFonts w:hint="eastAsia" w:ascii="宋体" w:hAnsi="宋体"/>
          <w:b/>
          <w:color w:val="auto"/>
          <w:szCs w:val="21"/>
          <w:highlight w:val="none"/>
        </w:rPr>
        <w:t>项目联系人</w:t>
      </w:r>
      <w:r>
        <w:rPr>
          <w:rFonts w:hint="eastAsia" w:ascii="宋体" w:hAnsi="宋体"/>
          <w:color w:val="auto"/>
          <w:szCs w:val="21"/>
          <w:highlight w:val="none"/>
        </w:rPr>
        <w:t>：</w:t>
      </w:r>
      <w:r>
        <w:rPr>
          <w:rFonts w:hint="eastAsia" w:ascii="宋体" w:hAnsi="宋体"/>
          <w:color w:val="auto"/>
          <w:szCs w:val="21"/>
          <w:highlight w:val="none"/>
          <w:u w:val="none"/>
          <w:lang w:val="en-US" w:eastAsia="zh-CN"/>
        </w:rPr>
        <w:t>张然</w:t>
      </w:r>
    </w:p>
    <w:p>
      <w:pPr>
        <w:adjustRightInd w:val="0"/>
        <w:spacing w:line="360" w:lineRule="auto"/>
        <w:ind w:firstLine="211" w:firstLineChars="100"/>
        <w:textAlignment w:val="baseline"/>
        <w:rPr>
          <w:rFonts w:hint="default" w:ascii="宋体" w:hAnsi="宋体" w:eastAsia="宋体"/>
          <w:b/>
          <w:color w:val="auto"/>
          <w:kern w:val="0"/>
          <w:szCs w:val="21"/>
          <w:highlight w:val="none"/>
          <w:lang w:val="en-US" w:eastAsia="zh-CN"/>
        </w:rPr>
      </w:pPr>
      <w:r>
        <w:rPr>
          <w:rFonts w:hint="eastAsia" w:ascii="宋体" w:hAnsi="宋体"/>
          <w:b/>
          <w:color w:val="auto"/>
          <w:kern w:val="0"/>
          <w:szCs w:val="21"/>
          <w:highlight w:val="none"/>
        </w:rPr>
        <w:t>电话</w:t>
      </w:r>
      <w:r>
        <w:rPr>
          <w:rFonts w:hint="eastAsia" w:ascii="宋体" w:hAnsi="宋体"/>
          <w:color w:val="auto"/>
          <w:kern w:val="0"/>
          <w:szCs w:val="21"/>
          <w:highlight w:val="none"/>
        </w:rPr>
        <w:t>：</w:t>
      </w:r>
      <w:r>
        <w:rPr>
          <w:rFonts w:hint="eastAsia" w:ascii="宋体" w:hAnsi="宋体"/>
          <w:color w:val="auto"/>
          <w:kern w:val="0"/>
          <w:szCs w:val="21"/>
          <w:highlight w:val="none"/>
          <w:u w:val="none"/>
          <w:lang w:val="en-US" w:eastAsia="zh-CN"/>
        </w:rPr>
        <w:t>18918301729</w:t>
      </w:r>
    </w:p>
    <w:p>
      <w:pPr>
        <w:tabs>
          <w:tab w:val="left" w:pos="567"/>
          <w:tab w:val="left" w:pos="709"/>
          <w:tab w:val="left" w:pos="851"/>
        </w:tabs>
        <w:adjustRightInd w:val="0"/>
        <w:spacing w:line="360" w:lineRule="auto"/>
        <w:ind w:left="420"/>
        <w:textAlignment w:val="baseline"/>
        <w:rPr>
          <w:rFonts w:ascii="宋体" w:hAnsi="宋体"/>
          <w:color w:val="auto"/>
          <w:kern w:val="0"/>
          <w:szCs w:val="21"/>
          <w:highlight w:val="none"/>
        </w:rPr>
      </w:pPr>
      <w:bookmarkStart w:id="13" w:name="OLE_LINK22"/>
    </w:p>
    <w:bookmarkEnd w:id="13"/>
    <w:p>
      <w:pPr>
        <w:jc w:val="center"/>
        <w:rPr>
          <w:rFonts w:ascii="宋体" w:hAnsi="宋体"/>
          <w:color w:val="auto"/>
          <w:sz w:val="32"/>
          <w:szCs w:val="32"/>
          <w:highlight w:val="none"/>
        </w:rPr>
      </w:pPr>
    </w:p>
    <w:p>
      <w:pPr>
        <w:jc w:val="center"/>
        <w:rPr>
          <w:rFonts w:asciiTheme="minorEastAsia" w:hAnsiTheme="minorEastAsia" w:eastAsiaTheme="minorEastAsia"/>
          <w:color w:val="auto"/>
          <w:sz w:val="32"/>
          <w:szCs w:val="32"/>
          <w:highlight w:val="none"/>
        </w:rPr>
      </w:pPr>
    </w:p>
    <w:p>
      <w:pPr>
        <w:jc w:val="center"/>
        <w:rPr>
          <w:rFonts w:asciiTheme="minorEastAsia" w:hAnsiTheme="minorEastAsia" w:eastAsiaTheme="minorEastAsia"/>
          <w:color w:val="auto"/>
          <w:sz w:val="32"/>
          <w:szCs w:val="32"/>
          <w:highlight w:val="none"/>
        </w:rPr>
      </w:pPr>
    </w:p>
    <w:p>
      <w:pPr>
        <w:jc w:val="center"/>
        <w:rPr>
          <w:rFonts w:asciiTheme="minorEastAsia" w:hAnsiTheme="minorEastAsia" w:eastAsiaTheme="minorEastAsia"/>
          <w:color w:val="auto"/>
          <w:sz w:val="32"/>
          <w:szCs w:val="32"/>
          <w:highlight w:val="none"/>
        </w:rPr>
      </w:pPr>
    </w:p>
    <w:p>
      <w:pPr>
        <w:jc w:val="center"/>
        <w:rPr>
          <w:rFonts w:asciiTheme="minorEastAsia" w:hAnsiTheme="minorEastAsia" w:eastAsiaTheme="minorEastAsia"/>
          <w:color w:val="auto"/>
          <w:sz w:val="32"/>
          <w:szCs w:val="32"/>
          <w:highlight w:val="none"/>
        </w:rPr>
      </w:pPr>
    </w:p>
    <w:p>
      <w:pPr>
        <w:jc w:val="center"/>
        <w:rPr>
          <w:rFonts w:asciiTheme="minorEastAsia" w:hAnsiTheme="minorEastAsia" w:eastAsiaTheme="minorEastAsia"/>
          <w:color w:val="auto"/>
          <w:sz w:val="32"/>
          <w:szCs w:val="32"/>
          <w:highlight w:val="none"/>
        </w:rPr>
      </w:pPr>
    </w:p>
    <w:p>
      <w:pPr>
        <w:jc w:val="center"/>
        <w:rPr>
          <w:rFonts w:asciiTheme="minorEastAsia" w:hAnsiTheme="minorEastAsia" w:eastAsiaTheme="minorEastAsia"/>
          <w:color w:val="auto"/>
          <w:sz w:val="32"/>
          <w:szCs w:val="32"/>
          <w:highlight w:val="none"/>
        </w:rPr>
      </w:pPr>
    </w:p>
    <w:p>
      <w:pPr>
        <w:jc w:val="center"/>
        <w:rPr>
          <w:rFonts w:asciiTheme="minorEastAsia" w:hAnsiTheme="minorEastAsia" w:eastAsiaTheme="minorEastAsia"/>
          <w:color w:val="auto"/>
          <w:sz w:val="32"/>
          <w:szCs w:val="32"/>
          <w:highlight w:val="none"/>
        </w:rPr>
      </w:pPr>
    </w:p>
    <w:p>
      <w:pPr>
        <w:jc w:val="center"/>
        <w:rPr>
          <w:rFonts w:asciiTheme="minorEastAsia" w:hAnsiTheme="minorEastAsia" w:eastAsiaTheme="minorEastAsia"/>
          <w:color w:val="auto"/>
          <w:sz w:val="32"/>
          <w:szCs w:val="32"/>
          <w:highlight w:val="none"/>
        </w:rPr>
      </w:pPr>
    </w:p>
    <w:p>
      <w:pPr>
        <w:jc w:val="center"/>
        <w:rPr>
          <w:rFonts w:asciiTheme="minorEastAsia" w:hAnsiTheme="minorEastAsia" w:eastAsiaTheme="minorEastAsia"/>
          <w:color w:val="auto"/>
          <w:sz w:val="32"/>
          <w:szCs w:val="32"/>
          <w:highlight w:val="none"/>
        </w:rPr>
      </w:pPr>
    </w:p>
    <w:p>
      <w:pPr>
        <w:jc w:val="center"/>
        <w:rPr>
          <w:rFonts w:asciiTheme="minorEastAsia" w:hAnsiTheme="minorEastAsia" w:eastAsiaTheme="minorEastAsia"/>
          <w:color w:val="auto"/>
          <w:sz w:val="32"/>
          <w:szCs w:val="32"/>
          <w:highlight w:val="none"/>
        </w:rPr>
      </w:pPr>
    </w:p>
    <w:p>
      <w:pPr>
        <w:jc w:val="center"/>
        <w:rPr>
          <w:rFonts w:asciiTheme="minorEastAsia" w:hAnsiTheme="minorEastAsia" w:eastAsiaTheme="minorEastAsia"/>
          <w:color w:val="auto"/>
          <w:sz w:val="32"/>
          <w:szCs w:val="32"/>
          <w:highlight w:val="none"/>
        </w:rPr>
      </w:pPr>
    </w:p>
    <w:p>
      <w:pPr>
        <w:pStyle w:val="2"/>
        <w:keepNext w:val="0"/>
        <w:keepLines w:val="0"/>
        <w:spacing w:line="360" w:lineRule="auto"/>
        <w:rPr>
          <w:rFonts w:ascii="宋体" w:hAnsi="宋体" w:eastAsia="宋体"/>
          <w:color w:val="auto"/>
          <w:sz w:val="52"/>
          <w:szCs w:val="52"/>
          <w:highlight w:val="none"/>
          <w:lang w:val="zh-CN"/>
        </w:rPr>
      </w:pPr>
      <w:bookmarkStart w:id="14" w:name="_Toc17882829"/>
      <w:bookmarkStart w:id="15" w:name="_Toc449306040"/>
      <w:bookmarkStart w:id="16" w:name="_Toc364679542"/>
      <w:r>
        <w:rPr>
          <w:rFonts w:hint="eastAsia" w:ascii="宋体" w:hAnsi="宋体" w:eastAsia="宋体"/>
          <w:color w:val="auto"/>
          <w:sz w:val="52"/>
          <w:szCs w:val="52"/>
          <w:highlight w:val="none"/>
          <w:lang w:val="zh-CN"/>
        </w:rPr>
        <w:t>第二章  投标人须知</w:t>
      </w:r>
      <w:bookmarkEnd w:id="8"/>
      <w:bookmarkEnd w:id="14"/>
      <w:bookmarkEnd w:id="15"/>
      <w:bookmarkEnd w:id="16"/>
    </w:p>
    <w:p>
      <w:pPr>
        <w:spacing w:after="312" w:afterLines="100" w:line="360" w:lineRule="auto"/>
        <w:jc w:val="center"/>
        <w:rPr>
          <w:rFonts w:asciiTheme="minorEastAsia" w:hAnsiTheme="minorEastAsia" w:eastAsiaTheme="minorEastAsia"/>
          <w:color w:val="auto"/>
          <w:sz w:val="28"/>
          <w:szCs w:val="28"/>
          <w:highlight w:val="none"/>
        </w:rPr>
      </w:pPr>
    </w:p>
    <w:p>
      <w:pPr>
        <w:spacing w:after="312" w:afterLines="100" w:line="360" w:lineRule="auto"/>
        <w:jc w:val="center"/>
        <w:rPr>
          <w:rFonts w:asciiTheme="minorEastAsia" w:hAnsiTheme="minorEastAsia" w:eastAsiaTheme="minorEastAsia"/>
          <w:color w:val="auto"/>
          <w:sz w:val="28"/>
          <w:szCs w:val="28"/>
          <w:highlight w:val="none"/>
        </w:rPr>
      </w:pPr>
    </w:p>
    <w:p>
      <w:pPr>
        <w:spacing w:after="312" w:afterLines="100" w:line="360" w:lineRule="auto"/>
        <w:jc w:val="center"/>
        <w:rPr>
          <w:rFonts w:asciiTheme="minorEastAsia" w:hAnsiTheme="minorEastAsia" w:eastAsiaTheme="minorEastAsia"/>
          <w:color w:val="auto"/>
          <w:sz w:val="28"/>
          <w:szCs w:val="28"/>
          <w:highlight w:val="none"/>
        </w:rPr>
      </w:pPr>
    </w:p>
    <w:p>
      <w:pPr>
        <w:pStyle w:val="3"/>
        <w:keepNext w:val="0"/>
        <w:keepLines w:val="0"/>
        <w:spacing w:line="360" w:lineRule="auto"/>
        <w:jc w:val="center"/>
        <w:rPr>
          <w:rFonts w:ascii="宋体" w:hAnsi="宋体" w:eastAsia="宋体"/>
          <w:color w:val="auto"/>
          <w:highlight w:val="none"/>
          <w:lang w:val="zh-CN"/>
        </w:rPr>
      </w:pPr>
      <w:r>
        <w:rPr>
          <w:rFonts w:hint="eastAsia" w:asciiTheme="minorEastAsia" w:hAnsiTheme="minorEastAsia" w:eastAsiaTheme="minorEastAsia"/>
          <w:color w:val="auto"/>
          <w:sz w:val="28"/>
          <w:szCs w:val="28"/>
          <w:highlight w:val="none"/>
        </w:rPr>
        <w:br w:type="page"/>
      </w:r>
      <w:bookmarkStart w:id="17" w:name="_Toc440870084"/>
      <w:bookmarkStart w:id="18" w:name="_Toc440869831"/>
      <w:bookmarkStart w:id="19" w:name="_Toc449306041"/>
      <w:bookmarkStart w:id="20" w:name="_Toc364679543"/>
      <w:r>
        <w:rPr>
          <w:rFonts w:hint="eastAsia" w:ascii="宋体" w:hAnsi="宋体" w:eastAsia="宋体"/>
          <w:color w:val="auto"/>
          <w:highlight w:val="none"/>
          <w:lang w:val="zh-CN"/>
        </w:rPr>
        <w:t>投标人须知前附表</w:t>
      </w:r>
      <w:bookmarkEnd w:id="17"/>
      <w:bookmarkEnd w:id="18"/>
      <w:bookmarkEnd w:id="19"/>
      <w:bookmarkEnd w:id="20"/>
    </w:p>
    <w:p>
      <w:pPr>
        <w:rPr>
          <w:rFonts w:asciiTheme="minorEastAsia" w:hAnsiTheme="minorEastAsia" w:eastAsiaTheme="minorEastAsia"/>
          <w:color w:val="auto"/>
          <w:highlight w:val="none"/>
        </w:rPr>
      </w:pPr>
    </w:p>
    <w:tbl>
      <w:tblPr>
        <w:tblStyle w:val="4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646"/>
        <w:gridCol w:w="61"/>
        <w:gridCol w:w="1555"/>
        <w:gridCol w:w="5924"/>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1" w:type="dxa"/>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条款号</w:t>
            </w:r>
          </w:p>
        </w:tc>
        <w:tc>
          <w:tcPr>
            <w:tcW w:w="2262" w:type="dxa"/>
            <w:gridSpan w:val="3"/>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条款名称</w:t>
            </w:r>
          </w:p>
        </w:tc>
        <w:tc>
          <w:tcPr>
            <w:tcW w:w="5939" w:type="dxa"/>
            <w:gridSpan w:val="2"/>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871" w:type="dxa"/>
            <w:vAlign w:val="center"/>
          </w:tcPr>
          <w:p>
            <w:pPr>
              <w:spacing w:line="320" w:lineRule="exact"/>
              <w:jc w:val="center"/>
              <w:rPr>
                <w:rFonts w:ascii="宋体" w:hAnsi="宋体"/>
                <w:color w:val="auto"/>
                <w:szCs w:val="21"/>
                <w:highlight w:val="none"/>
              </w:rPr>
            </w:pPr>
            <w:r>
              <w:rPr>
                <w:rFonts w:ascii="宋体" w:hAnsi="宋体"/>
                <w:color w:val="auto"/>
                <w:szCs w:val="21"/>
                <w:highlight w:val="none"/>
              </w:rPr>
              <w:t>1.1.2</w:t>
            </w:r>
          </w:p>
        </w:tc>
        <w:tc>
          <w:tcPr>
            <w:tcW w:w="2262" w:type="dxa"/>
            <w:gridSpan w:val="3"/>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采购人</w:t>
            </w:r>
          </w:p>
        </w:tc>
        <w:tc>
          <w:tcPr>
            <w:tcW w:w="5939" w:type="dxa"/>
            <w:gridSpan w:val="2"/>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名称：上海市养志康复医院（上海市阳光康复中心）</w:t>
            </w:r>
          </w:p>
          <w:p>
            <w:pPr>
              <w:snapToGrid w:val="0"/>
              <w:spacing w:line="360" w:lineRule="auto"/>
              <w:rPr>
                <w:rFonts w:hint="eastAsia" w:ascii="宋体" w:hAnsi="宋体"/>
                <w:color w:val="auto"/>
                <w:szCs w:val="21"/>
                <w:highlight w:val="none"/>
              </w:rPr>
            </w:pPr>
            <w:r>
              <w:rPr>
                <w:rFonts w:ascii="宋体" w:hAnsi="宋体"/>
                <w:color w:val="auto"/>
                <w:szCs w:val="21"/>
                <w:highlight w:val="none"/>
              </w:rPr>
              <w:t>地址：</w:t>
            </w:r>
            <w:r>
              <w:rPr>
                <w:rFonts w:hint="eastAsia" w:ascii="宋体" w:hAnsi="宋体"/>
                <w:color w:val="auto"/>
                <w:szCs w:val="21"/>
                <w:highlight w:val="none"/>
              </w:rPr>
              <w:t>上海市松江区银泽路828号</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邮编：201620</w:t>
            </w:r>
          </w:p>
          <w:p>
            <w:pPr>
              <w:snapToGrid w:val="0"/>
              <w:spacing w:line="360" w:lineRule="auto"/>
              <w:rPr>
                <w:rFonts w:hint="eastAsia" w:ascii="宋体" w:hAnsi="宋体"/>
                <w:color w:val="auto"/>
                <w:szCs w:val="21"/>
                <w:highlight w:val="none"/>
              </w:rPr>
            </w:pPr>
            <w:r>
              <w:rPr>
                <w:rFonts w:ascii="宋体" w:hAnsi="宋体"/>
                <w:color w:val="auto"/>
                <w:szCs w:val="21"/>
                <w:highlight w:val="none"/>
              </w:rPr>
              <w:t>联系人：</w:t>
            </w:r>
            <w:r>
              <w:rPr>
                <w:rFonts w:hint="eastAsia" w:ascii="宋体" w:hAnsi="宋体"/>
                <w:color w:val="auto"/>
                <w:szCs w:val="21"/>
                <w:highlight w:val="none"/>
                <w:lang w:val="en-US" w:eastAsia="zh-CN"/>
              </w:rPr>
              <w:t>张</w:t>
            </w:r>
            <w:r>
              <w:rPr>
                <w:rFonts w:hint="eastAsia" w:ascii="宋体" w:hAnsi="宋体"/>
                <w:color w:val="auto"/>
                <w:szCs w:val="21"/>
                <w:highlight w:val="none"/>
              </w:rPr>
              <w:t>老师</w:t>
            </w:r>
          </w:p>
          <w:p>
            <w:pPr>
              <w:spacing w:line="320" w:lineRule="exact"/>
              <w:jc w:val="left"/>
              <w:rPr>
                <w:rFonts w:ascii="宋体" w:hAnsi="宋体"/>
                <w:color w:val="auto"/>
                <w:szCs w:val="21"/>
                <w:highlight w:val="none"/>
              </w:rPr>
            </w:pPr>
            <w:r>
              <w:rPr>
                <w:rFonts w:ascii="宋体" w:hAnsi="宋体"/>
                <w:color w:val="auto"/>
                <w:szCs w:val="21"/>
                <w:highlight w:val="none"/>
              </w:rPr>
              <w:t>电话：</w:t>
            </w:r>
            <w:r>
              <w:rPr>
                <w:rFonts w:hint="eastAsia" w:ascii="宋体" w:hAnsi="宋体"/>
                <w:color w:val="auto"/>
                <w:szCs w:val="21"/>
                <w:highlight w:val="none"/>
              </w:rPr>
              <w:t>021-37730011-125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871" w:type="dxa"/>
            <w:vAlign w:val="center"/>
          </w:tcPr>
          <w:p>
            <w:pPr>
              <w:spacing w:line="320" w:lineRule="exact"/>
              <w:jc w:val="center"/>
              <w:rPr>
                <w:rFonts w:ascii="宋体" w:hAnsi="宋体"/>
                <w:color w:val="auto"/>
                <w:szCs w:val="21"/>
                <w:highlight w:val="none"/>
              </w:rPr>
            </w:pPr>
            <w:r>
              <w:rPr>
                <w:rFonts w:ascii="宋体" w:hAnsi="宋体"/>
                <w:color w:val="auto"/>
                <w:szCs w:val="21"/>
                <w:highlight w:val="none"/>
              </w:rPr>
              <w:t>1.1.3</w:t>
            </w:r>
          </w:p>
        </w:tc>
        <w:tc>
          <w:tcPr>
            <w:tcW w:w="2262" w:type="dxa"/>
            <w:gridSpan w:val="3"/>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采购代理机构</w:t>
            </w:r>
          </w:p>
        </w:tc>
        <w:tc>
          <w:tcPr>
            <w:tcW w:w="5939" w:type="dxa"/>
            <w:gridSpan w:val="2"/>
            <w:vAlign w:val="center"/>
          </w:tcPr>
          <w:p>
            <w:pPr>
              <w:spacing w:line="440" w:lineRule="exact"/>
              <w:jc w:val="left"/>
              <w:rPr>
                <w:rFonts w:ascii="宋体" w:hAnsi="宋体"/>
                <w:color w:val="auto"/>
                <w:szCs w:val="21"/>
                <w:highlight w:val="none"/>
              </w:rPr>
            </w:pPr>
            <w:r>
              <w:rPr>
                <w:rFonts w:ascii="宋体" w:hAnsi="宋体"/>
                <w:color w:val="auto"/>
                <w:szCs w:val="21"/>
                <w:highlight w:val="none"/>
              </w:rPr>
              <w:t>公司名称：上海百通项目管理咨询有限公司</w:t>
            </w:r>
          </w:p>
          <w:p>
            <w:pPr>
              <w:spacing w:line="440" w:lineRule="exact"/>
              <w:jc w:val="left"/>
              <w:rPr>
                <w:rFonts w:ascii="宋体" w:hAnsi="宋体"/>
                <w:color w:val="auto"/>
                <w:szCs w:val="21"/>
                <w:highlight w:val="none"/>
              </w:rPr>
            </w:pPr>
            <w:r>
              <w:rPr>
                <w:rFonts w:ascii="宋体" w:hAnsi="宋体"/>
                <w:color w:val="auto"/>
                <w:szCs w:val="21"/>
                <w:highlight w:val="none"/>
              </w:rPr>
              <w:t>地址：上海市浦东新区浦明路1229弄5楼</w:t>
            </w:r>
          </w:p>
          <w:p>
            <w:pPr>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联系人：</w:t>
            </w:r>
            <w:r>
              <w:rPr>
                <w:rFonts w:hint="eastAsia" w:ascii="宋体" w:hAnsi="宋体"/>
                <w:color w:val="auto"/>
                <w:szCs w:val="21"/>
                <w:highlight w:val="none"/>
                <w:lang w:val="en-US" w:eastAsia="zh-CN"/>
              </w:rPr>
              <w:t>张然</w:t>
            </w:r>
          </w:p>
          <w:p>
            <w:pPr>
              <w:spacing w:line="40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电话：</w:t>
            </w:r>
            <w:r>
              <w:rPr>
                <w:rFonts w:hint="eastAsia" w:ascii="宋体" w:hAnsi="宋体"/>
                <w:color w:val="auto"/>
                <w:szCs w:val="21"/>
                <w:highlight w:val="none"/>
                <w:lang w:val="en-US" w:eastAsia="zh-CN"/>
              </w:rPr>
              <w:t>18918301729</w:t>
            </w:r>
          </w:p>
          <w:p>
            <w:pPr>
              <w:spacing w:line="320" w:lineRule="exact"/>
              <w:jc w:val="left"/>
              <w:rPr>
                <w:rFonts w:ascii="宋体" w:hAnsi="宋体"/>
                <w:color w:val="auto"/>
                <w:szCs w:val="21"/>
                <w:highlight w:val="none"/>
              </w:rPr>
            </w:pPr>
            <w:r>
              <w:rPr>
                <w:rFonts w:hint="eastAsia" w:ascii="宋体" w:hAnsi="宋体"/>
                <w:color w:val="auto"/>
                <w:szCs w:val="21"/>
                <w:highlight w:val="none"/>
              </w:rPr>
              <w:t>传真：021-50908715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1" w:type="dxa"/>
            <w:vAlign w:val="center"/>
          </w:tcPr>
          <w:p>
            <w:pPr>
              <w:spacing w:line="320" w:lineRule="exact"/>
              <w:jc w:val="center"/>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4</w:t>
            </w:r>
          </w:p>
        </w:tc>
        <w:tc>
          <w:tcPr>
            <w:tcW w:w="2262" w:type="dxa"/>
            <w:gridSpan w:val="3"/>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项目名称</w:t>
            </w:r>
          </w:p>
        </w:tc>
        <w:tc>
          <w:tcPr>
            <w:tcW w:w="5939" w:type="dxa"/>
            <w:gridSpan w:val="2"/>
            <w:vAlign w:val="center"/>
          </w:tcPr>
          <w:p>
            <w:pPr>
              <w:spacing w:line="320" w:lineRule="exact"/>
              <w:rPr>
                <w:rFonts w:ascii="宋体" w:hAnsi="宋体"/>
                <w:color w:val="auto"/>
                <w:szCs w:val="21"/>
                <w:highlight w:val="none"/>
              </w:rPr>
            </w:pPr>
            <w:r>
              <w:rPr>
                <w:rFonts w:hint="eastAsia" w:ascii="宋体" w:hAnsi="宋体"/>
                <w:color w:val="auto"/>
                <w:szCs w:val="21"/>
                <w:highlight w:val="none"/>
                <w:lang w:eastAsia="zh-CN"/>
              </w:rPr>
              <w:t>上海市养志康复医院（上海市阳光康复中心）门诊、康复治疗场地调整装修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1" w:type="dxa"/>
            <w:vAlign w:val="center"/>
          </w:tcPr>
          <w:p>
            <w:pPr>
              <w:spacing w:line="320" w:lineRule="exact"/>
              <w:jc w:val="center"/>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5</w:t>
            </w:r>
          </w:p>
        </w:tc>
        <w:tc>
          <w:tcPr>
            <w:tcW w:w="2262" w:type="dxa"/>
            <w:gridSpan w:val="3"/>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建设地点</w:t>
            </w:r>
          </w:p>
        </w:tc>
        <w:tc>
          <w:tcPr>
            <w:tcW w:w="5939" w:type="dxa"/>
            <w:gridSpan w:val="2"/>
            <w:vAlign w:val="center"/>
          </w:tcPr>
          <w:p>
            <w:pPr>
              <w:spacing w:line="320" w:lineRule="exact"/>
              <w:rPr>
                <w:rFonts w:ascii="宋体" w:hAnsi="宋体"/>
                <w:color w:val="auto"/>
                <w:szCs w:val="21"/>
                <w:highlight w:val="none"/>
              </w:rPr>
            </w:pPr>
            <w:r>
              <w:rPr>
                <w:rFonts w:hint="eastAsia" w:ascii="宋体" w:hAnsi="宋体"/>
                <w:color w:val="auto"/>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71" w:type="dxa"/>
            <w:vAlign w:val="center"/>
          </w:tcPr>
          <w:p>
            <w:pPr>
              <w:spacing w:line="320" w:lineRule="exact"/>
              <w:jc w:val="center"/>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6</w:t>
            </w:r>
          </w:p>
        </w:tc>
        <w:tc>
          <w:tcPr>
            <w:tcW w:w="2262" w:type="dxa"/>
            <w:gridSpan w:val="3"/>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建设规模</w:t>
            </w:r>
          </w:p>
        </w:tc>
        <w:tc>
          <w:tcPr>
            <w:tcW w:w="5939" w:type="dxa"/>
            <w:gridSpan w:val="2"/>
            <w:vAlign w:val="center"/>
          </w:tcPr>
          <w:p>
            <w:pPr>
              <w:spacing w:line="320" w:lineRule="exact"/>
              <w:rPr>
                <w:rFonts w:ascii="宋体" w:hAnsi="宋体"/>
                <w:color w:val="auto"/>
                <w:szCs w:val="21"/>
                <w:highlight w:val="none"/>
              </w:rPr>
            </w:pPr>
            <w:r>
              <w:rPr>
                <w:rFonts w:hint="eastAsia" w:ascii="宋体" w:hAnsi="宋体"/>
                <w:color w:val="auto"/>
                <w:szCs w:val="21"/>
                <w:highlight w:val="none"/>
              </w:rPr>
              <w:t>详见第七章“技术标准和要求”。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1" w:type="dxa"/>
            <w:vMerge w:val="restart"/>
            <w:vAlign w:val="center"/>
          </w:tcPr>
          <w:p>
            <w:pPr>
              <w:spacing w:line="320" w:lineRule="exact"/>
              <w:jc w:val="center"/>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7</w:t>
            </w:r>
          </w:p>
        </w:tc>
        <w:tc>
          <w:tcPr>
            <w:tcW w:w="707" w:type="dxa"/>
            <w:gridSpan w:val="2"/>
            <w:vMerge w:val="restart"/>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项目相关单位</w:t>
            </w:r>
          </w:p>
        </w:tc>
        <w:tc>
          <w:tcPr>
            <w:tcW w:w="1555" w:type="dxa"/>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项目管理单位</w:t>
            </w:r>
          </w:p>
        </w:tc>
        <w:tc>
          <w:tcPr>
            <w:tcW w:w="5939" w:type="dxa"/>
            <w:gridSpan w:val="2"/>
            <w:vAlign w:val="center"/>
          </w:tcPr>
          <w:p>
            <w:pPr>
              <w:spacing w:line="400" w:lineRule="exact"/>
              <w:jc w:val="left"/>
              <w:rPr>
                <w:rFonts w:ascii="宋体" w:hAnsi="宋体"/>
                <w:color w:val="auto"/>
                <w:szCs w:val="21"/>
                <w:highlight w:val="none"/>
              </w:rPr>
            </w:pP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1" w:type="dxa"/>
            <w:vMerge w:val="continue"/>
            <w:vAlign w:val="center"/>
          </w:tcPr>
          <w:p>
            <w:pPr>
              <w:widowControl/>
              <w:spacing w:line="320" w:lineRule="exact"/>
              <w:jc w:val="left"/>
              <w:rPr>
                <w:rFonts w:ascii="宋体" w:hAnsi="宋体"/>
                <w:color w:val="auto"/>
                <w:szCs w:val="21"/>
                <w:highlight w:val="none"/>
              </w:rPr>
            </w:pPr>
          </w:p>
        </w:tc>
        <w:tc>
          <w:tcPr>
            <w:tcW w:w="707" w:type="dxa"/>
            <w:gridSpan w:val="2"/>
            <w:vMerge w:val="continue"/>
            <w:vAlign w:val="center"/>
          </w:tcPr>
          <w:p>
            <w:pPr>
              <w:spacing w:line="320" w:lineRule="exact"/>
              <w:rPr>
                <w:rFonts w:ascii="宋体" w:hAnsi="宋体"/>
                <w:color w:val="auto"/>
                <w:szCs w:val="21"/>
                <w:highlight w:val="none"/>
              </w:rPr>
            </w:pPr>
          </w:p>
        </w:tc>
        <w:tc>
          <w:tcPr>
            <w:tcW w:w="1555" w:type="dxa"/>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设计单位</w:t>
            </w:r>
          </w:p>
        </w:tc>
        <w:tc>
          <w:tcPr>
            <w:tcW w:w="5924" w:type="dxa"/>
            <w:vAlign w:val="top"/>
          </w:tcPr>
          <w:p>
            <w:pPr>
              <w:spacing w:line="400" w:lineRule="exact"/>
              <w:jc w:val="left"/>
              <w:rPr>
                <w:rFonts w:ascii="宋体" w:hAnsi="宋体"/>
                <w:color w:val="auto"/>
                <w:szCs w:val="21"/>
                <w:highlight w:val="none"/>
              </w:rPr>
            </w:pPr>
            <w:r>
              <w:rPr>
                <w:rFonts w:ascii="宋体" w:hAnsi="宋体"/>
                <w:color w:val="auto"/>
                <w:szCs w:val="21"/>
                <w:highlight w:val="none"/>
              </w:rPr>
              <w:t>/</w:t>
            </w:r>
          </w:p>
        </w:tc>
        <w:tc>
          <w:tcPr>
            <w:tcW w:w="0" w:type="auto"/>
            <w:vAlign w:val="center"/>
          </w:tcPr>
          <w:p>
            <w:pPr>
              <w:spacing w:line="32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1" w:type="dxa"/>
            <w:vMerge w:val="continue"/>
            <w:vAlign w:val="center"/>
          </w:tcPr>
          <w:p>
            <w:pPr>
              <w:widowControl/>
              <w:spacing w:line="320" w:lineRule="exact"/>
              <w:jc w:val="left"/>
              <w:rPr>
                <w:rFonts w:ascii="宋体" w:hAnsi="宋体"/>
                <w:color w:val="auto"/>
                <w:szCs w:val="21"/>
                <w:highlight w:val="none"/>
              </w:rPr>
            </w:pPr>
          </w:p>
        </w:tc>
        <w:tc>
          <w:tcPr>
            <w:tcW w:w="707" w:type="dxa"/>
            <w:gridSpan w:val="2"/>
            <w:vMerge w:val="continue"/>
            <w:vAlign w:val="center"/>
          </w:tcPr>
          <w:p>
            <w:pPr>
              <w:spacing w:line="320" w:lineRule="exact"/>
              <w:rPr>
                <w:rFonts w:ascii="宋体" w:hAnsi="宋体"/>
                <w:color w:val="auto"/>
                <w:szCs w:val="21"/>
                <w:highlight w:val="none"/>
              </w:rPr>
            </w:pPr>
          </w:p>
        </w:tc>
        <w:tc>
          <w:tcPr>
            <w:tcW w:w="1555" w:type="dxa"/>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勘察单位</w:t>
            </w:r>
          </w:p>
        </w:tc>
        <w:tc>
          <w:tcPr>
            <w:tcW w:w="5924" w:type="dxa"/>
            <w:vAlign w:val="top"/>
          </w:tcPr>
          <w:p>
            <w:pPr>
              <w:spacing w:line="400" w:lineRule="exact"/>
              <w:rPr>
                <w:rFonts w:ascii="宋体" w:hAnsi="宋体"/>
                <w:color w:val="auto"/>
                <w:szCs w:val="21"/>
                <w:highlight w:val="none"/>
              </w:rPr>
            </w:pPr>
            <w:r>
              <w:rPr>
                <w:rFonts w:ascii="宋体" w:hAnsi="宋体"/>
                <w:color w:val="auto"/>
                <w:szCs w:val="21"/>
                <w:highlight w:val="none"/>
              </w:rPr>
              <w:t>/</w:t>
            </w:r>
          </w:p>
        </w:tc>
        <w:tc>
          <w:tcPr>
            <w:tcW w:w="0" w:type="auto"/>
            <w:vAlign w:val="center"/>
          </w:tcPr>
          <w:p>
            <w:pPr>
              <w:spacing w:line="32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1" w:type="dxa"/>
            <w:vMerge w:val="continue"/>
            <w:vAlign w:val="center"/>
          </w:tcPr>
          <w:p>
            <w:pPr>
              <w:widowControl/>
              <w:spacing w:line="320" w:lineRule="exact"/>
              <w:jc w:val="left"/>
              <w:rPr>
                <w:rFonts w:ascii="宋体" w:hAnsi="宋体"/>
                <w:color w:val="auto"/>
                <w:szCs w:val="21"/>
                <w:highlight w:val="none"/>
              </w:rPr>
            </w:pPr>
          </w:p>
        </w:tc>
        <w:tc>
          <w:tcPr>
            <w:tcW w:w="707" w:type="dxa"/>
            <w:gridSpan w:val="2"/>
            <w:vMerge w:val="continue"/>
            <w:vAlign w:val="center"/>
          </w:tcPr>
          <w:p>
            <w:pPr>
              <w:spacing w:line="320" w:lineRule="exact"/>
              <w:rPr>
                <w:rFonts w:ascii="宋体" w:hAnsi="宋体"/>
                <w:color w:val="auto"/>
                <w:szCs w:val="21"/>
                <w:highlight w:val="none"/>
              </w:rPr>
            </w:pPr>
          </w:p>
        </w:tc>
        <w:tc>
          <w:tcPr>
            <w:tcW w:w="1555" w:type="dxa"/>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监理单位</w:t>
            </w:r>
          </w:p>
        </w:tc>
        <w:tc>
          <w:tcPr>
            <w:tcW w:w="5924"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待定</w:t>
            </w:r>
          </w:p>
        </w:tc>
        <w:tc>
          <w:tcPr>
            <w:tcW w:w="0" w:type="auto"/>
            <w:vAlign w:val="center"/>
          </w:tcPr>
          <w:p>
            <w:pPr>
              <w:spacing w:line="32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1" w:type="dxa"/>
            <w:vAlign w:val="center"/>
          </w:tcPr>
          <w:p>
            <w:pPr>
              <w:spacing w:line="320" w:lineRule="exact"/>
              <w:jc w:val="center"/>
              <w:rPr>
                <w:rFonts w:ascii="宋体" w:hAnsi="宋体"/>
                <w:color w:val="auto"/>
                <w:szCs w:val="21"/>
                <w:highlight w:val="none"/>
              </w:rPr>
            </w:pPr>
            <w:r>
              <w:rPr>
                <w:rFonts w:ascii="宋体" w:hAnsi="宋体"/>
                <w:color w:val="auto"/>
                <w:szCs w:val="21"/>
                <w:highlight w:val="none"/>
              </w:rPr>
              <w:t>1.2.1</w:t>
            </w:r>
          </w:p>
        </w:tc>
        <w:tc>
          <w:tcPr>
            <w:tcW w:w="2262" w:type="dxa"/>
            <w:gridSpan w:val="3"/>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建设资金来源</w:t>
            </w:r>
          </w:p>
        </w:tc>
        <w:tc>
          <w:tcPr>
            <w:tcW w:w="5939" w:type="dxa"/>
            <w:gridSpan w:val="2"/>
            <w:vAlign w:val="center"/>
          </w:tcPr>
          <w:p>
            <w:pPr>
              <w:spacing w:line="320" w:lineRule="exact"/>
              <w:rPr>
                <w:rFonts w:ascii="宋体" w:hAnsi="宋体"/>
                <w:color w:val="auto"/>
                <w:szCs w:val="21"/>
                <w:highlight w:val="none"/>
              </w:rPr>
            </w:pPr>
            <w:r>
              <w:rPr>
                <w:rFonts w:hint="eastAsia" w:ascii="宋体" w:hAnsi="宋体"/>
                <w:color w:val="auto"/>
                <w:szCs w:val="21"/>
                <w:highlight w:val="none"/>
              </w:rPr>
              <w:t>财力资金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1" w:type="dxa"/>
            <w:vAlign w:val="center"/>
          </w:tcPr>
          <w:p>
            <w:pPr>
              <w:spacing w:line="320" w:lineRule="exact"/>
              <w:jc w:val="center"/>
              <w:rPr>
                <w:rFonts w:ascii="宋体" w:hAnsi="宋体"/>
                <w:color w:val="auto"/>
                <w:szCs w:val="21"/>
                <w:highlight w:val="none"/>
              </w:rPr>
            </w:pPr>
            <w:r>
              <w:rPr>
                <w:rFonts w:ascii="宋体" w:hAnsi="宋体"/>
                <w:color w:val="auto"/>
                <w:szCs w:val="21"/>
                <w:highlight w:val="none"/>
              </w:rPr>
              <w:t>1.2.2</w:t>
            </w:r>
          </w:p>
        </w:tc>
        <w:tc>
          <w:tcPr>
            <w:tcW w:w="2262" w:type="dxa"/>
            <w:gridSpan w:val="3"/>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项目出资比例</w:t>
            </w:r>
          </w:p>
        </w:tc>
        <w:tc>
          <w:tcPr>
            <w:tcW w:w="5939" w:type="dxa"/>
            <w:gridSpan w:val="2"/>
            <w:vAlign w:val="center"/>
          </w:tcPr>
          <w:p>
            <w:pPr>
              <w:spacing w:line="320" w:lineRule="exact"/>
              <w:rPr>
                <w:rFonts w:ascii="宋体" w:hAnsi="宋体"/>
                <w:color w:val="auto"/>
                <w:szCs w:val="21"/>
                <w:highlight w:val="none"/>
              </w:rPr>
            </w:pPr>
            <w:r>
              <w:rPr>
                <w:rFonts w:hint="eastAsia" w:ascii="宋体" w:hAnsi="宋体"/>
                <w:color w:val="auto"/>
                <w:szCs w:val="21"/>
                <w:highlight w:val="none"/>
              </w:rPr>
              <w:t>100%财力资金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1" w:type="dxa"/>
            <w:vAlign w:val="center"/>
          </w:tcPr>
          <w:p>
            <w:pPr>
              <w:spacing w:line="320" w:lineRule="exact"/>
              <w:jc w:val="center"/>
              <w:rPr>
                <w:rFonts w:ascii="宋体" w:hAnsi="宋体"/>
                <w:color w:val="auto"/>
                <w:szCs w:val="21"/>
                <w:highlight w:val="none"/>
              </w:rPr>
            </w:pPr>
            <w:r>
              <w:rPr>
                <w:rFonts w:ascii="宋体" w:hAnsi="宋体"/>
                <w:color w:val="auto"/>
                <w:szCs w:val="21"/>
                <w:highlight w:val="none"/>
              </w:rPr>
              <w:t>1.2.3</w:t>
            </w:r>
          </w:p>
        </w:tc>
        <w:tc>
          <w:tcPr>
            <w:tcW w:w="2262" w:type="dxa"/>
            <w:gridSpan w:val="3"/>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资金落实情况</w:t>
            </w:r>
          </w:p>
        </w:tc>
        <w:tc>
          <w:tcPr>
            <w:tcW w:w="5939" w:type="dxa"/>
            <w:gridSpan w:val="2"/>
            <w:vAlign w:val="center"/>
          </w:tcPr>
          <w:p>
            <w:pPr>
              <w:spacing w:line="320" w:lineRule="exact"/>
              <w:rPr>
                <w:rFonts w:ascii="宋体" w:hAnsi="宋体"/>
                <w:color w:val="auto"/>
                <w:szCs w:val="21"/>
                <w:highlight w:val="none"/>
              </w:rPr>
            </w:pPr>
            <w:r>
              <w:rPr>
                <w:rFonts w:hint="eastAsia" w:ascii="宋体" w:hAnsi="宋体"/>
                <w:color w:val="auto"/>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71" w:type="dxa"/>
            <w:vAlign w:val="center"/>
          </w:tcPr>
          <w:p>
            <w:pPr>
              <w:spacing w:line="320" w:lineRule="exact"/>
              <w:jc w:val="center"/>
              <w:rPr>
                <w:rFonts w:ascii="宋体" w:hAnsi="宋体"/>
                <w:color w:val="auto"/>
                <w:szCs w:val="21"/>
                <w:highlight w:val="none"/>
              </w:rPr>
            </w:pPr>
            <w:r>
              <w:rPr>
                <w:rFonts w:ascii="宋体" w:hAnsi="宋体"/>
                <w:color w:val="auto"/>
                <w:szCs w:val="21"/>
                <w:highlight w:val="none"/>
              </w:rPr>
              <w:t>1.3.1</w:t>
            </w:r>
          </w:p>
        </w:tc>
        <w:tc>
          <w:tcPr>
            <w:tcW w:w="2262" w:type="dxa"/>
            <w:gridSpan w:val="3"/>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招标范围</w:t>
            </w:r>
          </w:p>
        </w:tc>
        <w:tc>
          <w:tcPr>
            <w:tcW w:w="5939" w:type="dxa"/>
            <w:gridSpan w:val="2"/>
            <w:vAlign w:val="center"/>
          </w:tcPr>
          <w:p>
            <w:pPr>
              <w:spacing w:line="320" w:lineRule="exact"/>
              <w:rPr>
                <w:rFonts w:ascii="宋体" w:hAnsi="宋体"/>
                <w:color w:val="auto"/>
                <w:szCs w:val="21"/>
                <w:highlight w:val="none"/>
              </w:rPr>
            </w:pPr>
            <w:r>
              <w:rPr>
                <w:rFonts w:hint="eastAsia" w:ascii="宋体" w:hAnsi="宋体"/>
                <w:color w:val="auto"/>
                <w:szCs w:val="21"/>
                <w:highlight w:val="none"/>
              </w:rPr>
              <w:t>关于招标范围的详细说明见第七章“技术标准和要求”。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871" w:type="dxa"/>
            <w:vAlign w:val="center"/>
          </w:tcPr>
          <w:p>
            <w:pPr>
              <w:spacing w:line="320" w:lineRule="exact"/>
              <w:jc w:val="center"/>
              <w:rPr>
                <w:rFonts w:ascii="宋体" w:hAnsi="宋体"/>
                <w:color w:val="auto"/>
                <w:szCs w:val="21"/>
                <w:highlight w:val="none"/>
              </w:rPr>
            </w:pPr>
            <w:r>
              <w:rPr>
                <w:rFonts w:ascii="宋体" w:hAnsi="宋体"/>
                <w:color w:val="auto"/>
                <w:szCs w:val="21"/>
                <w:highlight w:val="none"/>
              </w:rPr>
              <w:t>1.3.2</w:t>
            </w:r>
          </w:p>
        </w:tc>
        <w:tc>
          <w:tcPr>
            <w:tcW w:w="2262" w:type="dxa"/>
            <w:gridSpan w:val="3"/>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计划工期</w:t>
            </w:r>
          </w:p>
        </w:tc>
        <w:tc>
          <w:tcPr>
            <w:tcW w:w="5939" w:type="dxa"/>
            <w:gridSpan w:val="2"/>
            <w:vAlign w:val="center"/>
          </w:tcPr>
          <w:p>
            <w:pPr>
              <w:spacing w:line="400" w:lineRule="exact"/>
              <w:rPr>
                <w:rFonts w:ascii="宋体" w:hAnsi="宋体"/>
                <w:color w:val="auto"/>
                <w:szCs w:val="21"/>
                <w:highlight w:val="none"/>
              </w:rPr>
            </w:pPr>
            <w:r>
              <w:rPr>
                <w:rFonts w:hint="eastAsia" w:ascii="宋体" w:hAnsi="宋体"/>
                <w:color w:val="auto"/>
                <w:szCs w:val="21"/>
                <w:highlight w:val="none"/>
              </w:rPr>
              <w:t>计划工期：</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90</w:t>
            </w:r>
            <w:r>
              <w:rPr>
                <w:rFonts w:ascii="宋体" w:hAnsi="宋体"/>
                <w:color w:val="auto"/>
                <w:szCs w:val="21"/>
                <w:highlight w:val="none"/>
                <w:u w:val="single"/>
              </w:rPr>
              <w:t xml:space="preserve"> </w:t>
            </w:r>
            <w:r>
              <w:rPr>
                <w:rFonts w:hint="eastAsia" w:ascii="宋体" w:hAnsi="宋体"/>
                <w:color w:val="auto"/>
                <w:szCs w:val="21"/>
                <w:highlight w:val="none"/>
              </w:rPr>
              <w:t>日历天</w:t>
            </w:r>
          </w:p>
          <w:p>
            <w:pPr>
              <w:rPr>
                <w:rFonts w:ascii="宋体" w:hAnsi="宋体"/>
                <w:color w:val="auto"/>
                <w:szCs w:val="21"/>
                <w:highlight w:val="none"/>
              </w:rPr>
            </w:pPr>
            <w:r>
              <w:rPr>
                <w:rFonts w:hint="eastAsia" w:ascii="宋体" w:hAnsi="宋体"/>
                <w:color w:val="auto"/>
                <w:szCs w:val="21"/>
                <w:highlight w:val="none"/>
              </w:rPr>
              <w:t>计划开工日期：以采购人通知为准</w:t>
            </w:r>
          </w:p>
          <w:p>
            <w:pPr>
              <w:spacing w:line="320" w:lineRule="exact"/>
              <w:rPr>
                <w:rFonts w:ascii="宋体" w:hAnsi="宋体"/>
                <w:color w:val="auto"/>
                <w:szCs w:val="21"/>
                <w:highlight w:val="none"/>
              </w:rPr>
            </w:pPr>
            <w:r>
              <w:rPr>
                <w:rFonts w:hint="eastAsia" w:ascii="宋体" w:hAnsi="宋体"/>
                <w:color w:val="auto"/>
                <w:szCs w:val="21"/>
                <w:highlight w:val="none"/>
              </w:rPr>
              <w:t>有关工期的详细要求见第七章“技术标准和要求”。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71" w:type="dxa"/>
            <w:vAlign w:val="center"/>
          </w:tcPr>
          <w:p>
            <w:pPr>
              <w:spacing w:line="320" w:lineRule="exact"/>
              <w:jc w:val="center"/>
              <w:rPr>
                <w:rFonts w:ascii="宋体" w:hAnsi="宋体"/>
                <w:color w:val="auto"/>
                <w:szCs w:val="21"/>
                <w:highlight w:val="none"/>
              </w:rPr>
            </w:pPr>
            <w:r>
              <w:rPr>
                <w:rFonts w:ascii="宋体" w:hAnsi="宋体"/>
                <w:color w:val="auto"/>
                <w:szCs w:val="21"/>
                <w:highlight w:val="none"/>
              </w:rPr>
              <w:t>1.3.3</w:t>
            </w:r>
          </w:p>
        </w:tc>
        <w:tc>
          <w:tcPr>
            <w:tcW w:w="2262" w:type="dxa"/>
            <w:gridSpan w:val="3"/>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质量要求</w:t>
            </w:r>
          </w:p>
        </w:tc>
        <w:tc>
          <w:tcPr>
            <w:tcW w:w="5939" w:type="dxa"/>
            <w:gridSpan w:val="2"/>
            <w:vAlign w:val="center"/>
          </w:tcPr>
          <w:p>
            <w:pPr>
              <w:spacing w:line="320" w:lineRule="exact"/>
              <w:rPr>
                <w:rFonts w:ascii="宋体" w:hAnsi="宋体"/>
                <w:color w:val="auto"/>
                <w:szCs w:val="21"/>
                <w:highlight w:val="none"/>
              </w:rPr>
            </w:pPr>
            <w:r>
              <w:rPr>
                <w:rFonts w:hint="eastAsia" w:ascii="宋体" w:hAnsi="宋体"/>
                <w:color w:val="auto"/>
                <w:szCs w:val="21"/>
                <w:highlight w:val="none"/>
              </w:rPr>
              <w:t>质量标准：一次验收合格率100%</w:t>
            </w:r>
          </w:p>
          <w:p>
            <w:pPr>
              <w:spacing w:line="320" w:lineRule="exact"/>
              <w:rPr>
                <w:rFonts w:ascii="宋体" w:hAnsi="宋体"/>
                <w:color w:val="auto"/>
                <w:szCs w:val="21"/>
                <w:highlight w:val="none"/>
              </w:rPr>
            </w:pPr>
            <w:r>
              <w:rPr>
                <w:rFonts w:hint="eastAsia" w:ascii="宋体" w:hAnsi="宋体"/>
                <w:color w:val="auto"/>
                <w:szCs w:val="21"/>
                <w:highlight w:val="none"/>
              </w:rPr>
              <w:t>关于质量要求的详细说明见第七章“技术标准和要求”。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71" w:type="dxa"/>
            <w:shd w:val="clear" w:color="auto" w:fill="auto"/>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1.4.1（1）</w:t>
            </w:r>
          </w:p>
        </w:tc>
        <w:tc>
          <w:tcPr>
            <w:tcW w:w="646" w:type="dxa"/>
            <w:vMerge w:val="restart"/>
            <w:shd w:val="clear" w:color="auto" w:fill="auto"/>
            <w:vAlign w:val="center"/>
          </w:tcPr>
          <w:p>
            <w:pPr>
              <w:spacing w:line="320" w:lineRule="exact"/>
              <w:ind w:right="-107" w:rightChars="-51"/>
              <w:jc w:val="center"/>
              <w:rPr>
                <w:rFonts w:ascii="宋体" w:hAnsi="宋体"/>
                <w:color w:val="auto"/>
                <w:szCs w:val="21"/>
                <w:highlight w:val="none"/>
              </w:rPr>
            </w:pPr>
            <w:r>
              <w:rPr>
                <w:rFonts w:hint="eastAsia" w:ascii="宋体" w:hAnsi="宋体"/>
                <w:color w:val="auto"/>
                <w:szCs w:val="21"/>
                <w:highlight w:val="none"/>
              </w:rPr>
              <w:t>投标人应具备本标段施工的条件</w:t>
            </w:r>
          </w:p>
        </w:tc>
        <w:tc>
          <w:tcPr>
            <w:tcW w:w="1616" w:type="dxa"/>
            <w:gridSpan w:val="2"/>
            <w:shd w:val="clear" w:color="auto" w:fill="auto"/>
            <w:vAlign w:val="center"/>
          </w:tcPr>
          <w:p>
            <w:pPr>
              <w:spacing w:line="320" w:lineRule="exact"/>
              <w:ind w:right="-107" w:rightChars="-51"/>
              <w:jc w:val="center"/>
              <w:rPr>
                <w:rFonts w:ascii="宋体" w:hAnsi="宋体"/>
                <w:color w:val="auto"/>
                <w:szCs w:val="21"/>
                <w:highlight w:val="none"/>
              </w:rPr>
            </w:pPr>
            <w:r>
              <w:rPr>
                <w:rFonts w:hint="eastAsia" w:ascii="宋体" w:hAnsi="宋体"/>
                <w:color w:val="auto"/>
                <w:szCs w:val="21"/>
                <w:highlight w:val="none"/>
              </w:rPr>
              <w:t>资质条件</w:t>
            </w:r>
          </w:p>
        </w:tc>
        <w:tc>
          <w:tcPr>
            <w:tcW w:w="5939" w:type="dxa"/>
            <w:gridSpan w:val="2"/>
            <w:vAlign w:val="center"/>
          </w:tcPr>
          <w:p>
            <w:pPr>
              <w:spacing w:line="320" w:lineRule="exact"/>
              <w:rPr>
                <w:rFonts w:ascii="宋体" w:hAnsi="宋体"/>
                <w:color w:val="auto"/>
                <w:szCs w:val="21"/>
                <w:highlight w:val="none"/>
              </w:rPr>
            </w:pPr>
            <w:r>
              <w:rPr>
                <w:rFonts w:hint="eastAsia" w:ascii="宋体" w:hAnsi="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71" w:type="dxa"/>
            <w:shd w:val="clear" w:color="auto" w:fill="auto"/>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1.4.1（2）</w:t>
            </w:r>
          </w:p>
        </w:tc>
        <w:tc>
          <w:tcPr>
            <w:tcW w:w="646" w:type="dxa"/>
            <w:vMerge w:val="continue"/>
            <w:shd w:val="clear" w:color="auto" w:fill="auto"/>
            <w:vAlign w:val="center"/>
          </w:tcPr>
          <w:p>
            <w:pPr>
              <w:spacing w:line="320" w:lineRule="exact"/>
              <w:rPr>
                <w:rFonts w:ascii="宋体" w:hAnsi="宋体"/>
                <w:color w:val="auto"/>
                <w:szCs w:val="21"/>
                <w:highlight w:val="none"/>
              </w:rPr>
            </w:pPr>
          </w:p>
        </w:tc>
        <w:tc>
          <w:tcPr>
            <w:tcW w:w="1616" w:type="dxa"/>
            <w:gridSpan w:val="2"/>
            <w:shd w:val="clear" w:color="auto" w:fill="auto"/>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项目经理资格</w:t>
            </w:r>
          </w:p>
        </w:tc>
        <w:tc>
          <w:tcPr>
            <w:tcW w:w="5939" w:type="dxa"/>
            <w:gridSpan w:val="2"/>
            <w:vAlign w:val="center"/>
          </w:tcPr>
          <w:p>
            <w:pPr>
              <w:rPr>
                <w:rFonts w:ascii="宋体" w:hAnsi="宋体" w:cs="宋体"/>
                <w:bCs/>
                <w:color w:val="auto"/>
                <w:szCs w:val="21"/>
                <w:highlight w:val="none"/>
              </w:rPr>
            </w:pPr>
            <w:r>
              <w:rPr>
                <w:rFonts w:hint="eastAsia" w:ascii="宋体" w:hAnsi="宋体"/>
                <w:bCs/>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shd w:val="clear" w:color="auto" w:fill="auto"/>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1.4.1（3）</w:t>
            </w:r>
          </w:p>
        </w:tc>
        <w:tc>
          <w:tcPr>
            <w:tcW w:w="646" w:type="dxa"/>
            <w:vMerge w:val="continue"/>
            <w:shd w:val="clear" w:color="auto" w:fill="auto"/>
            <w:vAlign w:val="center"/>
          </w:tcPr>
          <w:p>
            <w:pPr>
              <w:spacing w:line="320" w:lineRule="exact"/>
              <w:jc w:val="center"/>
              <w:rPr>
                <w:rFonts w:ascii="宋体" w:hAnsi="宋体"/>
                <w:color w:val="auto"/>
                <w:szCs w:val="21"/>
                <w:highlight w:val="none"/>
              </w:rPr>
            </w:pPr>
          </w:p>
        </w:tc>
        <w:tc>
          <w:tcPr>
            <w:tcW w:w="1616" w:type="dxa"/>
            <w:gridSpan w:val="2"/>
            <w:shd w:val="clear" w:color="auto" w:fill="auto"/>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业绩要求</w:t>
            </w:r>
          </w:p>
        </w:tc>
        <w:tc>
          <w:tcPr>
            <w:tcW w:w="5939" w:type="dxa"/>
            <w:gridSpan w:val="2"/>
            <w:vAlign w:val="center"/>
          </w:tcPr>
          <w:p>
            <w:pPr>
              <w:spacing w:line="320" w:lineRule="exact"/>
              <w:rPr>
                <w:rFonts w:ascii="宋体" w:hAnsi="宋体"/>
                <w:color w:val="auto"/>
                <w:szCs w:val="21"/>
                <w:highlight w:val="none"/>
              </w:rPr>
            </w:pPr>
            <w:r>
              <w:rPr>
                <w:rFonts w:hint="eastAsia" w:ascii="宋体" w:hAnsi="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71" w:type="dxa"/>
            <w:shd w:val="clear" w:color="auto" w:fill="auto"/>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1.4.1（4）</w:t>
            </w:r>
          </w:p>
        </w:tc>
        <w:tc>
          <w:tcPr>
            <w:tcW w:w="646" w:type="dxa"/>
            <w:vMerge w:val="continue"/>
            <w:shd w:val="clear" w:color="auto" w:fill="auto"/>
            <w:vAlign w:val="center"/>
          </w:tcPr>
          <w:p>
            <w:pPr>
              <w:spacing w:line="320" w:lineRule="exact"/>
              <w:jc w:val="center"/>
              <w:rPr>
                <w:rFonts w:ascii="宋体" w:hAnsi="宋体"/>
                <w:color w:val="auto"/>
                <w:szCs w:val="21"/>
                <w:highlight w:val="none"/>
              </w:rPr>
            </w:pPr>
          </w:p>
        </w:tc>
        <w:tc>
          <w:tcPr>
            <w:tcW w:w="1616" w:type="dxa"/>
            <w:gridSpan w:val="2"/>
            <w:shd w:val="clear" w:color="auto" w:fill="auto"/>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其他要求</w:t>
            </w:r>
          </w:p>
        </w:tc>
        <w:tc>
          <w:tcPr>
            <w:tcW w:w="5939" w:type="dxa"/>
            <w:gridSpan w:val="2"/>
            <w:vAlign w:val="center"/>
          </w:tcPr>
          <w:p>
            <w:pPr>
              <w:spacing w:line="320" w:lineRule="exact"/>
              <w:rPr>
                <w:rFonts w:ascii="宋体" w:hAnsi="宋体"/>
                <w:color w:val="auto"/>
                <w:szCs w:val="21"/>
                <w:highlight w:val="none"/>
              </w:rPr>
            </w:pPr>
            <w:r>
              <w:rPr>
                <w:rFonts w:hint="eastAsia" w:ascii="宋体" w:hAnsi="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71" w:type="dxa"/>
            <w:vAlign w:val="center"/>
          </w:tcPr>
          <w:p>
            <w:pPr>
              <w:spacing w:line="320" w:lineRule="exact"/>
              <w:jc w:val="center"/>
              <w:rPr>
                <w:rFonts w:ascii="宋体" w:hAnsi="宋体"/>
                <w:color w:val="auto"/>
                <w:szCs w:val="21"/>
                <w:highlight w:val="none"/>
              </w:rPr>
            </w:pPr>
            <w:r>
              <w:rPr>
                <w:rFonts w:ascii="宋体" w:hAnsi="宋体"/>
                <w:color w:val="auto"/>
                <w:szCs w:val="21"/>
                <w:highlight w:val="none"/>
              </w:rPr>
              <w:t>1.4.2</w:t>
            </w:r>
          </w:p>
        </w:tc>
        <w:tc>
          <w:tcPr>
            <w:tcW w:w="2262" w:type="dxa"/>
            <w:gridSpan w:val="3"/>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是否接受联合体投标</w:t>
            </w:r>
          </w:p>
        </w:tc>
        <w:tc>
          <w:tcPr>
            <w:tcW w:w="5939" w:type="dxa"/>
            <w:gridSpan w:val="2"/>
            <w:vAlign w:val="center"/>
          </w:tcPr>
          <w:p>
            <w:pPr>
              <w:spacing w:line="320" w:lineRule="exac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 xml:space="preserve">不接受 </w:t>
            </w:r>
          </w:p>
          <w:p>
            <w:pPr>
              <w:spacing w:line="320" w:lineRule="exact"/>
              <w:rPr>
                <w:rFonts w:ascii="宋体" w:hAnsi="宋体"/>
                <w:color w:val="auto"/>
                <w:szCs w:val="21"/>
                <w:highlight w:val="none"/>
              </w:rPr>
            </w:pPr>
            <w:r>
              <w:rPr>
                <w:rFonts w:hint="eastAsia" w:ascii="宋体" w:hAnsi="宋体"/>
                <w:color w:val="auto"/>
                <w:szCs w:val="21"/>
                <w:highlight w:val="none"/>
              </w:rPr>
              <w:t>□接受，联合体投标的，应满足：</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871" w:type="dxa"/>
            <w:vAlign w:val="center"/>
          </w:tcPr>
          <w:p>
            <w:pPr>
              <w:spacing w:line="320" w:lineRule="exact"/>
              <w:jc w:val="center"/>
              <w:rPr>
                <w:rFonts w:ascii="宋体" w:hAnsi="宋体"/>
                <w:color w:val="auto"/>
                <w:szCs w:val="21"/>
                <w:highlight w:val="none"/>
              </w:rPr>
            </w:pPr>
            <w:r>
              <w:rPr>
                <w:rFonts w:ascii="宋体" w:hAnsi="宋体"/>
                <w:color w:val="auto"/>
                <w:szCs w:val="21"/>
                <w:highlight w:val="none"/>
              </w:rPr>
              <w:t>1.9.1</w:t>
            </w:r>
          </w:p>
        </w:tc>
        <w:tc>
          <w:tcPr>
            <w:tcW w:w="2262" w:type="dxa"/>
            <w:gridSpan w:val="3"/>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是否组织踏勘现场</w:t>
            </w:r>
          </w:p>
        </w:tc>
        <w:tc>
          <w:tcPr>
            <w:tcW w:w="5939" w:type="dxa"/>
            <w:gridSpan w:val="2"/>
            <w:vAlign w:val="center"/>
          </w:tcPr>
          <w:p>
            <w:pPr>
              <w:spacing w:line="360" w:lineRule="auto"/>
              <w:rPr>
                <w:rFonts w:ascii="宋体" w:hAnsi="宋体"/>
                <w:color w:val="auto"/>
                <w:szCs w:val="21"/>
                <w:highlight w:val="none"/>
              </w:rPr>
            </w:pPr>
            <w:r>
              <w:rPr>
                <w:rFonts w:hint="eastAsia" w:ascii="宋体" w:hAnsi="宋体"/>
                <w:color w:val="auto"/>
                <w:szCs w:val="21"/>
                <w:highlight w:val="none"/>
              </w:rPr>
              <w:t>■不组织，投标人根据自身需要自行决定是否踏勘。</w:t>
            </w:r>
          </w:p>
          <w:p>
            <w:pPr>
              <w:spacing w:line="360" w:lineRule="auto"/>
              <w:rPr>
                <w:rFonts w:ascii="宋体" w:hAnsi="宋体"/>
                <w:color w:val="auto"/>
                <w:szCs w:val="21"/>
                <w:highlight w:val="none"/>
              </w:rPr>
            </w:pPr>
            <w:r>
              <w:rPr>
                <w:rFonts w:hint="eastAsia" w:ascii="宋体" w:hAnsi="宋体"/>
                <w:b/>
                <w:color w:val="auto"/>
                <w:szCs w:val="21"/>
                <w:highlight w:val="none"/>
              </w:rPr>
              <w:t>注：疫情防控期间不组织现场踏勘。</w:t>
            </w:r>
          </w:p>
          <w:p>
            <w:pPr>
              <w:spacing w:line="360" w:lineRule="auto"/>
              <w:rPr>
                <w:rFonts w:ascii="宋体" w:hAnsi="宋体"/>
                <w:color w:val="auto"/>
                <w:szCs w:val="21"/>
                <w:highlight w:val="none"/>
              </w:rPr>
            </w:pPr>
            <w:r>
              <w:rPr>
                <w:rFonts w:hint="eastAsia" w:ascii="宋体" w:hAnsi="宋体"/>
                <w:color w:val="auto"/>
                <w:szCs w:val="21"/>
                <w:highlight w:val="none"/>
              </w:rPr>
              <w:t>□组织，集合时间：/ 集合地点：/联系人：/ 联系电话：/。</w:t>
            </w:r>
          </w:p>
          <w:p>
            <w:pPr>
              <w:tabs>
                <w:tab w:val="left" w:pos="3780"/>
              </w:tabs>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取得</w:t>
            </w:r>
            <w:r>
              <w:rPr>
                <w:rFonts w:hint="eastAsia" w:ascii="宋体" w:hAnsi="宋体"/>
                <w:color w:val="auto"/>
                <w:szCs w:val="21"/>
                <w:highlight w:val="none"/>
              </w:rPr>
              <w:t>招标</w:t>
            </w:r>
            <w:r>
              <w:rPr>
                <w:rFonts w:ascii="宋体" w:hAnsi="宋体"/>
                <w:color w:val="auto"/>
                <w:szCs w:val="21"/>
                <w:highlight w:val="none"/>
              </w:rPr>
              <w:t>文件后</w:t>
            </w:r>
            <w:r>
              <w:rPr>
                <w:rFonts w:hint="eastAsia" w:ascii="宋体" w:hAnsi="宋体"/>
                <w:color w:val="auto"/>
                <w:szCs w:val="21"/>
                <w:highlight w:val="none"/>
              </w:rPr>
              <w:t>，</w:t>
            </w:r>
            <w:r>
              <w:rPr>
                <w:rFonts w:ascii="宋体" w:hAnsi="宋体"/>
                <w:color w:val="auto"/>
                <w:szCs w:val="21"/>
                <w:highlight w:val="none"/>
              </w:rPr>
              <w:t>可前往项目现场踏勘</w:t>
            </w:r>
            <w:r>
              <w:rPr>
                <w:rFonts w:ascii="宋体" w:hAnsi="宋体"/>
                <w:bCs/>
                <w:color w:val="auto"/>
                <w:szCs w:val="21"/>
                <w:highlight w:val="none"/>
              </w:rPr>
              <w:t>以</w:t>
            </w:r>
            <w:r>
              <w:rPr>
                <w:rFonts w:ascii="宋体" w:hAnsi="宋体"/>
                <w:color w:val="auto"/>
                <w:szCs w:val="21"/>
                <w:highlight w:val="none"/>
              </w:rPr>
              <w:t>了解任何足以影响</w:t>
            </w:r>
            <w:r>
              <w:rPr>
                <w:rFonts w:hint="eastAsia" w:ascii="宋体" w:hAnsi="宋体"/>
                <w:color w:val="auto"/>
                <w:szCs w:val="21"/>
                <w:highlight w:val="none"/>
              </w:rPr>
              <w:t>投标</w:t>
            </w:r>
            <w:r>
              <w:rPr>
                <w:rFonts w:ascii="宋体" w:hAnsi="宋体"/>
                <w:color w:val="auto"/>
                <w:szCs w:val="21"/>
                <w:highlight w:val="none"/>
              </w:rPr>
              <w:t>报价、编制</w:t>
            </w:r>
            <w:r>
              <w:rPr>
                <w:rFonts w:hint="eastAsia" w:ascii="宋体" w:hAnsi="宋体"/>
                <w:color w:val="auto"/>
                <w:szCs w:val="21"/>
                <w:highlight w:val="none"/>
              </w:rPr>
              <w:t>投标</w:t>
            </w:r>
            <w:r>
              <w:rPr>
                <w:rFonts w:ascii="宋体" w:hAnsi="宋体"/>
                <w:color w:val="auto"/>
                <w:szCs w:val="21"/>
                <w:highlight w:val="none"/>
              </w:rPr>
              <w:t>文件和签署合同所需了解的全部信息</w:t>
            </w:r>
            <w:r>
              <w:rPr>
                <w:rFonts w:ascii="宋体" w:hAnsi="宋体"/>
                <w:bCs/>
                <w:color w:val="auto"/>
                <w:szCs w:val="21"/>
                <w:highlight w:val="none"/>
              </w:rPr>
              <w:t>，如现有设备情况、材料加工、材料堆放及用水、</w:t>
            </w:r>
            <w:r>
              <w:rPr>
                <w:rFonts w:hint="eastAsia" w:ascii="宋体" w:hAnsi="宋体"/>
                <w:bCs/>
                <w:color w:val="auto"/>
                <w:szCs w:val="21"/>
                <w:highlight w:val="none"/>
              </w:rPr>
              <w:t>用</w:t>
            </w:r>
            <w:r>
              <w:rPr>
                <w:rFonts w:ascii="宋体" w:hAnsi="宋体"/>
                <w:bCs/>
                <w:color w:val="auto"/>
                <w:szCs w:val="21"/>
                <w:highlight w:val="none"/>
              </w:rPr>
              <w:t>电和道路运输等因素，都应在</w:t>
            </w:r>
            <w:r>
              <w:rPr>
                <w:rFonts w:hint="eastAsia" w:ascii="宋体" w:hAnsi="宋体"/>
                <w:bCs/>
                <w:color w:val="auto"/>
                <w:szCs w:val="21"/>
                <w:highlight w:val="none"/>
              </w:rPr>
              <w:t>投标</w:t>
            </w:r>
            <w:r>
              <w:rPr>
                <w:rFonts w:ascii="宋体" w:hAnsi="宋体"/>
                <w:bCs/>
                <w:color w:val="auto"/>
                <w:szCs w:val="21"/>
                <w:highlight w:val="none"/>
              </w:rPr>
              <w:t>时一并考虑。</w:t>
            </w:r>
            <w:r>
              <w:rPr>
                <w:rFonts w:hint="eastAsia" w:ascii="宋体" w:hAnsi="宋体"/>
                <w:bCs/>
                <w:color w:val="auto"/>
                <w:szCs w:val="21"/>
                <w:highlight w:val="none"/>
              </w:rPr>
              <w:t>投标人</w:t>
            </w:r>
            <w:r>
              <w:rPr>
                <w:rFonts w:ascii="宋体" w:hAnsi="宋体"/>
                <w:bCs/>
                <w:color w:val="auto"/>
                <w:szCs w:val="21"/>
                <w:highlight w:val="none"/>
              </w:rPr>
              <w:t>一</w:t>
            </w:r>
            <w:r>
              <w:rPr>
                <w:rFonts w:hint="eastAsia" w:ascii="宋体" w:hAnsi="宋体"/>
                <w:bCs/>
                <w:color w:val="auto"/>
                <w:szCs w:val="21"/>
                <w:highlight w:val="none"/>
              </w:rPr>
              <w:t>旦中标</w:t>
            </w:r>
            <w:r>
              <w:rPr>
                <w:rFonts w:ascii="宋体" w:hAnsi="宋体"/>
                <w:bCs/>
                <w:color w:val="auto"/>
                <w:szCs w:val="21"/>
                <w:highlight w:val="none"/>
              </w:rPr>
              <w:t>，不得以不了解现场情况为</w:t>
            </w:r>
            <w:r>
              <w:rPr>
                <w:rFonts w:hint="eastAsia" w:ascii="宋体" w:hAnsi="宋体"/>
                <w:bCs/>
                <w:color w:val="auto"/>
                <w:szCs w:val="21"/>
                <w:highlight w:val="none"/>
              </w:rPr>
              <w:t>由</w:t>
            </w:r>
            <w:r>
              <w:rPr>
                <w:rFonts w:ascii="宋体" w:hAnsi="宋体"/>
                <w:bCs/>
                <w:color w:val="auto"/>
                <w:szCs w:val="21"/>
                <w:highlight w:val="none"/>
              </w:rPr>
              <w:t>，提出延长合同期和提高合同价等</w:t>
            </w:r>
            <w:r>
              <w:rPr>
                <w:rFonts w:hint="eastAsia" w:ascii="宋体" w:hAnsi="宋体"/>
                <w:bCs/>
                <w:color w:val="auto"/>
                <w:szCs w:val="21"/>
                <w:highlight w:val="none"/>
              </w:rPr>
              <w:t>不合理</w:t>
            </w:r>
            <w:r>
              <w:rPr>
                <w:rFonts w:ascii="宋体" w:hAnsi="宋体"/>
                <w:bCs/>
                <w:color w:val="auto"/>
                <w:szCs w:val="21"/>
                <w:highlight w:val="none"/>
              </w:rPr>
              <w:t>要求。</w:t>
            </w:r>
            <w:r>
              <w:rPr>
                <w:rFonts w:hint="eastAsia" w:ascii="宋体" w:hAnsi="宋体"/>
                <w:bCs/>
                <w:color w:val="auto"/>
                <w:szCs w:val="21"/>
                <w:highlight w:val="none"/>
              </w:rPr>
              <w:t>投标人</w:t>
            </w:r>
            <w:r>
              <w:rPr>
                <w:rFonts w:ascii="宋体" w:hAnsi="宋体"/>
                <w:bCs/>
                <w:color w:val="auto"/>
                <w:szCs w:val="21"/>
                <w:highlight w:val="none"/>
              </w:rPr>
              <w:t>应自行承担现场踏勘的</w:t>
            </w:r>
            <w:r>
              <w:rPr>
                <w:rFonts w:hint="eastAsia" w:ascii="宋体" w:hAnsi="宋体"/>
                <w:bCs/>
                <w:color w:val="auto"/>
                <w:szCs w:val="21"/>
                <w:highlight w:val="none"/>
              </w:rPr>
              <w:t>费用，并对踏勘现场后做出的判断自行承担</w:t>
            </w:r>
            <w:r>
              <w:rPr>
                <w:rFonts w:ascii="宋体" w:hAnsi="宋体"/>
                <w:bCs/>
                <w:color w:val="auto"/>
                <w:szCs w:val="21"/>
                <w:highlight w:val="none"/>
              </w:rPr>
              <w:t>责任和风险。</w:t>
            </w:r>
          </w:p>
          <w:p>
            <w:pPr>
              <w:spacing w:line="360" w:lineRule="auto"/>
              <w:ind w:firstLine="210" w:firstLineChars="100"/>
              <w:rPr>
                <w:rFonts w:ascii="宋体" w:hAnsi="宋体"/>
                <w:color w:val="auto"/>
                <w:szCs w:val="21"/>
                <w:highlight w:val="none"/>
              </w:rPr>
            </w:pPr>
            <w:r>
              <w:rPr>
                <w:rFonts w:hint="eastAsia" w:ascii="宋体" w:hAnsi="宋体"/>
                <w:bCs/>
                <w:color w:val="auto"/>
                <w:szCs w:val="21"/>
                <w:highlight w:val="none"/>
              </w:rPr>
              <w:t>注：</w:t>
            </w:r>
            <w:r>
              <w:rPr>
                <w:rFonts w:hint="eastAsia" w:ascii="宋体" w:hAnsi="宋体"/>
                <w:color w:val="auto"/>
                <w:szCs w:val="21"/>
                <w:highlight w:val="none"/>
              </w:rPr>
              <w:t>采购人在踏勘现场中口头介绍的情况，除采购人事后形成书面记录、并以澄清或修改公告的形式发布、构成招标文件的组成部分以外，其他内容仅供投标人在编制投标文件时参考，采购人不对投标人据此作出的判断和决策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71" w:type="dxa"/>
            <w:vAlign w:val="center"/>
          </w:tcPr>
          <w:p>
            <w:pPr>
              <w:spacing w:line="320" w:lineRule="exact"/>
              <w:jc w:val="center"/>
              <w:rPr>
                <w:rFonts w:ascii="宋体" w:hAnsi="宋体"/>
                <w:color w:val="auto"/>
                <w:szCs w:val="21"/>
                <w:highlight w:val="none"/>
              </w:rPr>
            </w:pPr>
            <w:r>
              <w:rPr>
                <w:rFonts w:ascii="宋体" w:hAnsi="宋体"/>
                <w:color w:val="auto"/>
                <w:szCs w:val="21"/>
                <w:highlight w:val="none"/>
              </w:rPr>
              <w:t>1.10.1</w:t>
            </w:r>
          </w:p>
        </w:tc>
        <w:tc>
          <w:tcPr>
            <w:tcW w:w="2262" w:type="dxa"/>
            <w:gridSpan w:val="3"/>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投标预备会</w:t>
            </w:r>
          </w:p>
        </w:tc>
        <w:tc>
          <w:tcPr>
            <w:tcW w:w="5939" w:type="dxa"/>
            <w:gridSpan w:val="2"/>
            <w:vAlign w:val="center"/>
          </w:tcPr>
          <w:p>
            <w:pPr>
              <w:spacing w:line="360" w:lineRule="auto"/>
              <w:rPr>
                <w:rFonts w:ascii="宋体" w:hAnsi="宋体"/>
                <w:color w:val="auto"/>
                <w:szCs w:val="21"/>
                <w:highlight w:val="none"/>
              </w:rPr>
            </w:pPr>
            <w:r>
              <w:rPr>
                <w:rFonts w:hint="eastAsia" w:ascii="宋体" w:hAnsi="宋体"/>
                <w:color w:val="auto"/>
                <w:szCs w:val="21"/>
                <w:highlight w:val="none"/>
              </w:rPr>
              <w:t>不召开。投标人</w:t>
            </w:r>
            <w:r>
              <w:rPr>
                <w:rFonts w:ascii="宋体" w:hAnsi="宋体"/>
                <w:color w:val="auto"/>
                <w:szCs w:val="21"/>
                <w:highlight w:val="none"/>
              </w:rPr>
              <w:t>对</w:t>
            </w:r>
            <w:r>
              <w:rPr>
                <w:rFonts w:hint="eastAsia" w:ascii="宋体" w:hAnsi="宋体"/>
                <w:color w:val="auto"/>
                <w:szCs w:val="21"/>
                <w:highlight w:val="none"/>
              </w:rPr>
              <w:t>招标</w:t>
            </w:r>
            <w:r>
              <w:rPr>
                <w:rFonts w:ascii="宋体" w:hAnsi="宋体"/>
                <w:color w:val="auto"/>
                <w:szCs w:val="21"/>
                <w:highlight w:val="none"/>
              </w:rPr>
              <w:t>文件如有疑问，可要求澄清</w:t>
            </w:r>
            <w:r>
              <w:rPr>
                <w:rFonts w:hint="eastAsia" w:ascii="宋体" w:hAnsi="宋体"/>
                <w:color w:val="auto"/>
                <w:szCs w:val="21"/>
                <w:highlight w:val="none"/>
              </w:rPr>
              <w:t>。澄清要求应</w:t>
            </w:r>
            <w:r>
              <w:rPr>
                <w:rFonts w:ascii="宋体" w:hAnsi="宋体"/>
                <w:color w:val="auto"/>
                <w:szCs w:val="21"/>
                <w:highlight w:val="none"/>
              </w:rPr>
              <w:t>以书面形式（盖单位公章）在</w:t>
            </w:r>
            <w:r>
              <w:rPr>
                <w:rFonts w:hint="eastAsia" w:ascii="宋体" w:hAnsi="宋体"/>
                <w:color w:val="auto"/>
                <w:szCs w:val="21"/>
                <w:highlight w:val="none"/>
                <w:lang w:val="en-US" w:eastAsia="zh-CN"/>
              </w:rPr>
              <w:t>2020</w:t>
            </w:r>
            <w:r>
              <w:rPr>
                <w:rFonts w:hint="eastAsia" w:ascii="宋体" w:hAnsi="宋体"/>
                <w:b/>
                <w:color w:val="auto"/>
                <w:szCs w:val="21"/>
                <w:highlight w:val="none"/>
              </w:rPr>
              <w:t>年</w:t>
            </w:r>
            <w:r>
              <w:rPr>
                <w:rFonts w:hint="eastAsia" w:ascii="宋体" w:hAnsi="宋体"/>
                <w:b/>
                <w:color w:val="auto"/>
                <w:szCs w:val="21"/>
                <w:highlight w:val="none"/>
                <w:lang w:val="en-US" w:eastAsia="zh-CN"/>
              </w:rPr>
              <w:t>9</w:t>
            </w:r>
            <w:r>
              <w:rPr>
                <w:rFonts w:hint="eastAsia" w:ascii="宋体" w:hAnsi="宋体"/>
                <w:b/>
                <w:color w:val="auto"/>
                <w:szCs w:val="21"/>
                <w:highlight w:val="none"/>
              </w:rPr>
              <w:t>月</w:t>
            </w:r>
            <w:r>
              <w:rPr>
                <w:rFonts w:hint="eastAsia" w:ascii="宋体" w:hAnsi="宋体"/>
                <w:b/>
                <w:color w:val="auto"/>
                <w:szCs w:val="21"/>
                <w:highlight w:val="none"/>
                <w:lang w:val="en-US" w:eastAsia="zh-CN"/>
              </w:rPr>
              <w:t>8</w:t>
            </w:r>
            <w:r>
              <w:rPr>
                <w:rFonts w:hint="eastAsia" w:ascii="宋体" w:hAnsi="宋体"/>
                <w:b/>
                <w:color w:val="auto"/>
                <w:szCs w:val="21"/>
                <w:highlight w:val="none"/>
              </w:rPr>
              <w:t>日下</w:t>
            </w:r>
            <w:r>
              <w:rPr>
                <w:rFonts w:ascii="宋体" w:hAnsi="宋体"/>
                <w:b/>
                <w:color w:val="auto"/>
                <w:szCs w:val="21"/>
                <w:highlight w:val="none"/>
              </w:rPr>
              <w:t>午15:00时之前</w:t>
            </w:r>
            <w:r>
              <w:rPr>
                <w:rFonts w:ascii="宋体" w:hAnsi="宋体"/>
                <w:color w:val="auto"/>
                <w:szCs w:val="21"/>
                <w:highlight w:val="none"/>
              </w:rPr>
              <w:t>传真至采购代理机构</w:t>
            </w:r>
            <w:r>
              <w:rPr>
                <w:rFonts w:hint="eastAsia" w:ascii="宋体" w:hAnsi="宋体"/>
                <w:color w:val="auto"/>
                <w:szCs w:val="21"/>
                <w:highlight w:val="none"/>
              </w:rPr>
              <w:t>（</w:t>
            </w:r>
            <w:r>
              <w:rPr>
                <w:rFonts w:ascii="宋体" w:hAnsi="宋体"/>
                <w:color w:val="auto"/>
                <w:szCs w:val="21"/>
                <w:highlight w:val="none"/>
              </w:rPr>
              <w:t>传真号码：021-50908715</w:t>
            </w:r>
            <w:r>
              <w:rPr>
                <w:rFonts w:hint="eastAsia" w:ascii="宋体" w:hAnsi="宋体"/>
                <w:color w:val="auto"/>
                <w:szCs w:val="21"/>
                <w:highlight w:val="none"/>
              </w:rPr>
              <w:t>），原件可采用快递方式送达</w:t>
            </w:r>
            <w:r>
              <w:rPr>
                <w:rFonts w:ascii="宋体" w:hAnsi="宋体"/>
                <w:color w:val="auto"/>
                <w:szCs w:val="21"/>
                <w:highlight w:val="none"/>
              </w:rPr>
              <w:t>。</w:t>
            </w:r>
            <w:r>
              <w:rPr>
                <w:rFonts w:hint="eastAsia" w:ascii="宋体" w:hAnsi="宋体"/>
                <w:color w:val="auto"/>
                <w:szCs w:val="21"/>
                <w:highlight w:val="none"/>
              </w:rPr>
              <w:t>采购人</w:t>
            </w:r>
            <w:r>
              <w:rPr>
                <w:rFonts w:ascii="宋体" w:hAnsi="宋体"/>
                <w:color w:val="auto"/>
                <w:szCs w:val="21"/>
                <w:highlight w:val="none"/>
              </w:rPr>
              <w:t>与</w:t>
            </w:r>
            <w:r>
              <w:rPr>
                <w:rFonts w:hint="eastAsia" w:ascii="宋体" w:hAnsi="宋体"/>
                <w:color w:val="auto"/>
                <w:szCs w:val="21"/>
                <w:highlight w:val="none"/>
              </w:rPr>
              <w:t>采购代理机构</w:t>
            </w:r>
            <w:r>
              <w:rPr>
                <w:rFonts w:ascii="宋体" w:hAnsi="宋体"/>
                <w:color w:val="auto"/>
                <w:szCs w:val="21"/>
                <w:highlight w:val="none"/>
              </w:rPr>
              <w:t>研究后，对认为有必要回答的问题，将</w:t>
            </w:r>
            <w:r>
              <w:rPr>
                <w:rFonts w:hint="eastAsia" w:ascii="宋体" w:hAnsi="宋体"/>
                <w:color w:val="auto"/>
                <w:szCs w:val="21"/>
                <w:highlight w:val="none"/>
              </w:rPr>
              <w:t>以补充文件形式发放给所有投标人</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71" w:type="dxa"/>
            <w:vAlign w:val="center"/>
          </w:tcPr>
          <w:p>
            <w:pPr>
              <w:spacing w:line="320" w:lineRule="exact"/>
              <w:jc w:val="center"/>
              <w:rPr>
                <w:rFonts w:ascii="宋体" w:hAnsi="宋体"/>
                <w:b/>
                <w:bCs/>
                <w:color w:val="auto"/>
                <w:szCs w:val="21"/>
                <w:highlight w:val="none"/>
              </w:rPr>
            </w:pPr>
            <w:r>
              <w:rPr>
                <w:rFonts w:hint="eastAsia" w:ascii="宋体" w:hAnsi="宋体"/>
                <w:color w:val="auto"/>
                <w:szCs w:val="21"/>
                <w:highlight w:val="none"/>
              </w:rPr>
              <w:t>1</w:t>
            </w:r>
            <w:r>
              <w:rPr>
                <w:rFonts w:ascii="宋体" w:hAnsi="宋体"/>
                <w:color w:val="auto"/>
                <w:szCs w:val="21"/>
                <w:highlight w:val="none"/>
              </w:rPr>
              <w:t>.11</w:t>
            </w:r>
          </w:p>
        </w:tc>
        <w:tc>
          <w:tcPr>
            <w:tcW w:w="2262" w:type="dxa"/>
            <w:gridSpan w:val="3"/>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分包</w:t>
            </w:r>
          </w:p>
        </w:tc>
        <w:tc>
          <w:tcPr>
            <w:tcW w:w="5939" w:type="dxa"/>
            <w:gridSpan w:val="2"/>
            <w:vAlign w:val="center"/>
          </w:tcPr>
          <w:p>
            <w:pPr>
              <w:spacing w:line="400" w:lineRule="exact"/>
              <w:rPr>
                <w:rFonts w:ascii="宋体" w:hAnsi="宋体"/>
                <w:color w:val="auto"/>
                <w:szCs w:val="21"/>
                <w:highlight w:val="none"/>
                <w:u w:val="single"/>
              </w:rPr>
            </w:pPr>
            <w:r>
              <w:rPr>
                <w:rFonts w:hint="eastAsia" w:ascii="宋体" w:hAnsi="宋体"/>
                <w:color w:val="auto"/>
                <w:szCs w:val="21"/>
                <w:highlight w:val="none"/>
              </w:rPr>
              <w:t>分包的内容：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ascii="宋体" w:hAnsi="宋体"/>
                <w:color w:val="auto"/>
                <w:szCs w:val="21"/>
                <w:highlight w:val="none"/>
                <w:u w:val="single"/>
              </w:rPr>
              <w:t xml:space="preserve">                 </w:t>
            </w:r>
          </w:p>
          <w:p>
            <w:pPr>
              <w:spacing w:line="320" w:lineRule="exact"/>
              <w:rPr>
                <w:rFonts w:ascii="宋体" w:hAnsi="宋体"/>
                <w:color w:val="auto"/>
                <w:szCs w:val="21"/>
                <w:highlight w:val="none"/>
              </w:rPr>
            </w:pPr>
            <w:r>
              <w:rPr>
                <w:rFonts w:hint="eastAsia" w:ascii="宋体" w:hAnsi="宋体"/>
                <w:color w:val="auto"/>
                <w:szCs w:val="21"/>
                <w:highlight w:val="none"/>
              </w:rPr>
              <w:t>分包内容的金额或者比例：</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71" w:type="dxa"/>
            <w:vAlign w:val="center"/>
          </w:tcPr>
          <w:p>
            <w:pPr>
              <w:spacing w:line="320" w:lineRule="exact"/>
              <w:jc w:val="center"/>
              <w:rPr>
                <w:rFonts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.1（</w:t>
            </w:r>
            <w:r>
              <w:rPr>
                <w:rFonts w:ascii="宋体" w:hAnsi="宋体"/>
                <w:color w:val="auto"/>
                <w:szCs w:val="21"/>
                <w:highlight w:val="none"/>
              </w:rPr>
              <w:t>9</w:t>
            </w:r>
            <w:r>
              <w:rPr>
                <w:rFonts w:hint="eastAsia" w:ascii="宋体" w:hAnsi="宋体"/>
                <w:color w:val="auto"/>
                <w:szCs w:val="21"/>
                <w:highlight w:val="none"/>
              </w:rPr>
              <w:t>）</w:t>
            </w:r>
          </w:p>
        </w:tc>
        <w:tc>
          <w:tcPr>
            <w:tcW w:w="2262" w:type="dxa"/>
            <w:gridSpan w:val="3"/>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构成招标文件的其他材料</w:t>
            </w:r>
          </w:p>
        </w:tc>
        <w:tc>
          <w:tcPr>
            <w:tcW w:w="5939" w:type="dxa"/>
            <w:gridSpan w:val="2"/>
            <w:vAlign w:val="center"/>
          </w:tcPr>
          <w:p>
            <w:pPr>
              <w:spacing w:line="320" w:lineRule="exact"/>
              <w:rPr>
                <w:rFonts w:ascii="宋体" w:hAnsi="宋体"/>
                <w:color w:val="auto"/>
                <w:szCs w:val="21"/>
                <w:highlight w:val="none"/>
              </w:rPr>
            </w:pPr>
            <w:r>
              <w:rPr>
                <w:rFonts w:hint="eastAsia" w:ascii="宋体" w:hAnsi="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71" w:type="dxa"/>
            <w:vAlign w:val="center"/>
          </w:tcPr>
          <w:p>
            <w:pPr>
              <w:spacing w:line="320" w:lineRule="exact"/>
              <w:jc w:val="center"/>
              <w:rPr>
                <w:rFonts w:ascii="宋体" w:hAnsi="宋体"/>
                <w:color w:val="auto"/>
                <w:szCs w:val="21"/>
                <w:highlight w:val="none"/>
              </w:rPr>
            </w:pPr>
            <w:r>
              <w:rPr>
                <w:rFonts w:ascii="宋体" w:hAnsi="宋体"/>
                <w:color w:val="auto"/>
                <w:szCs w:val="21"/>
                <w:highlight w:val="none"/>
              </w:rPr>
              <w:t>3.1.</w:t>
            </w:r>
            <w:r>
              <w:rPr>
                <w:rFonts w:hint="eastAsia" w:ascii="宋体" w:hAnsi="宋体"/>
                <w:color w:val="auto"/>
                <w:szCs w:val="21"/>
                <w:highlight w:val="none"/>
              </w:rPr>
              <w:t>3</w:t>
            </w:r>
          </w:p>
        </w:tc>
        <w:tc>
          <w:tcPr>
            <w:tcW w:w="2262" w:type="dxa"/>
            <w:gridSpan w:val="3"/>
            <w:vAlign w:val="center"/>
          </w:tcPr>
          <w:p>
            <w:pPr>
              <w:spacing w:line="320" w:lineRule="exact"/>
              <w:rPr>
                <w:rFonts w:ascii="宋体" w:hAnsi="宋体"/>
                <w:color w:val="auto"/>
                <w:szCs w:val="21"/>
                <w:highlight w:val="none"/>
              </w:rPr>
            </w:pPr>
            <w:r>
              <w:rPr>
                <w:rFonts w:hint="eastAsia" w:ascii="宋体" w:hAnsi="宋体"/>
                <w:color w:val="auto"/>
                <w:szCs w:val="21"/>
                <w:highlight w:val="none"/>
              </w:rPr>
              <w:t>投标文件电子版内容</w:t>
            </w:r>
          </w:p>
        </w:tc>
        <w:tc>
          <w:tcPr>
            <w:tcW w:w="5939" w:type="dxa"/>
            <w:gridSpan w:val="2"/>
            <w:vAlign w:val="center"/>
          </w:tcPr>
          <w:p>
            <w:pPr>
              <w:pStyle w:val="72"/>
              <w:rPr>
                <w:rFonts w:ascii="宋体" w:hAnsi="宋体"/>
                <w:color w:val="auto"/>
                <w:highlight w:val="none"/>
                <w:u w:val="single"/>
              </w:rPr>
            </w:pPr>
            <w:r>
              <w:rPr>
                <w:rFonts w:hint="eastAsia" w:ascii="宋体" w:hAnsi="宋体"/>
                <w:color w:val="auto"/>
                <w:highlight w:val="none"/>
              </w:rPr>
              <w:t>一份，包含全部投标文件的内容及已标价工程量清单组价文件。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71" w:type="dxa"/>
            <w:vAlign w:val="center"/>
          </w:tcPr>
          <w:p>
            <w:pPr>
              <w:spacing w:line="320" w:lineRule="exact"/>
              <w:jc w:val="center"/>
              <w:rPr>
                <w:rFonts w:ascii="宋体" w:hAnsi="宋体"/>
                <w:color w:val="auto"/>
                <w:szCs w:val="21"/>
                <w:highlight w:val="none"/>
              </w:rPr>
            </w:pPr>
            <w:r>
              <w:rPr>
                <w:rFonts w:ascii="宋体" w:hAnsi="宋体"/>
                <w:color w:val="auto"/>
                <w:szCs w:val="21"/>
                <w:highlight w:val="none"/>
              </w:rPr>
              <w:t>3.2.</w:t>
            </w:r>
            <w:r>
              <w:rPr>
                <w:rFonts w:hint="eastAsia" w:ascii="宋体" w:hAnsi="宋体"/>
                <w:color w:val="auto"/>
                <w:szCs w:val="21"/>
                <w:highlight w:val="none"/>
              </w:rPr>
              <w:t>1</w:t>
            </w:r>
          </w:p>
        </w:tc>
        <w:tc>
          <w:tcPr>
            <w:tcW w:w="2262" w:type="dxa"/>
            <w:gridSpan w:val="3"/>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最高投标限价</w:t>
            </w:r>
          </w:p>
        </w:tc>
        <w:tc>
          <w:tcPr>
            <w:tcW w:w="5939" w:type="dxa"/>
            <w:gridSpan w:val="2"/>
            <w:vAlign w:val="center"/>
          </w:tcPr>
          <w:p>
            <w:pPr>
              <w:spacing w:line="460" w:lineRule="exac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无</w:t>
            </w:r>
          </w:p>
          <w:p>
            <w:pPr>
              <w:spacing w:line="320" w:lineRule="exact"/>
              <w:rPr>
                <w:rFonts w:ascii="宋体" w:hAnsi="宋体"/>
                <w:b/>
                <w:color w:val="auto"/>
                <w:szCs w:val="21"/>
                <w:highlight w:val="none"/>
              </w:rPr>
            </w:pPr>
            <w:r>
              <w:rPr>
                <w:rFonts w:ascii="宋体" w:hAnsi="宋体"/>
                <w:color w:val="auto"/>
                <w:szCs w:val="21"/>
                <w:highlight w:val="none"/>
              </w:rPr>
              <w:t>■</w:t>
            </w:r>
            <w:r>
              <w:rPr>
                <w:rFonts w:hint="eastAsia" w:ascii="宋体" w:hAnsi="宋体"/>
                <w:color w:val="auto"/>
                <w:szCs w:val="21"/>
                <w:highlight w:val="none"/>
              </w:rPr>
              <w:t>有，最高限价为：人民币</w:t>
            </w:r>
            <w:r>
              <w:rPr>
                <w:rFonts w:hint="eastAsia" w:ascii="宋体" w:hAnsi="宋体"/>
                <w:color w:val="auto"/>
                <w:szCs w:val="21"/>
                <w:highlight w:val="none"/>
                <w:lang w:val="en-US" w:eastAsia="zh-CN"/>
              </w:rPr>
              <w:t>190.88</w:t>
            </w:r>
            <w:r>
              <w:rPr>
                <w:rFonts w:hint="eastAsia" w:ascii="宋体" w:hAnsi="宋体"/>
                <w:color w:val="auto"/>
                <w:kern w:val="0"/>
                <w:szCs w:val="21"/>
                <w:highlight w:val="none"/>
              </w:rPr>
              <w:t>万元</w:t>
            </w:r>
            <w:r>
              <w:rPr>
                <w:rFonts w:hint="eastAsia" w:ascii="宋体" w:hAnsi="宋体"/>
                <w:color w:val="auto"/>
                <w:szCs w:val="21"/>
                <w:highlight w:val="none"/>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71" w:type="dxa"/>
            <w:vAlign w:val="center"/>
          </w:tcPr>
          <w:p>
            <w:pPr>
              <w:spacing w:line="320" w:lineRule="exact"/>
              <w:jc w:val="center"/>
              <w:rPr>
                <w:rFonts w:ascii="宋体" w:hAnsi="宋体"/>
                <w:color w:val="auto"/>
                <w:szCs w:val="21"/>
                <w:highlight w:val="none"/>
              </w:rPr>
            </w:pPr>
            <w:r>
              <w:rPr>
                <w:rFonts w:ascii="宋体" w:hAnsi="宋体"/>
                <w:color w:val="auto"/>
                <w:szCs w:val="21"/>
                <w:highlight w:val="none"/>
              </w:rPr>
              <w:t>3.3.1</w:t>
            </w:r>
          </w:p>
        </w:tc>
        <w:tc>
          <w:tcPr>
            <w:tcW w:w="2262" w:type="dxa"/>
            <w:gridSpan w:val="3"/>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投标有效期</w:t>
            </w:r>
          </w:p>
        </w:tc>
        <w:tc>
          <w:tcPr>
            <w:tcW w:w="5939" w:type="dxa"/>
            <w:gridSpan w:val="2"/>
            <w:vAlign w:val="center"/>
          </w:tcPr>
          <w:p>
            <w:pPr>
              <w:spacing w:line="320" w:lineRule="exact"/>
              <w:rPr>
                <w:rFonts w:ascii="宋体" w:hAnsi="宋体"/>
                <w:color w:val="auto"/>
                <w:szCs w:val="21"/>
                <w:highlight w:val="none"/>
              </w:rPr>
            </w:pPr>
            <w:r>
              <w:rPr>
                <w:rFonts w:hint="eastAsia" w:ascii="宋体" w:hAnsi="宋体"/>
                <w:color w:val="auto"/>
                <w:szCs w:val="21"/>
                <w:highlight w:val="none"/>
                <w:u w:val="single"/>
              </w:rPr>
              <w:t>90</w:t>
            </w:r>
            <w:r>
              <w:rPr>
                <w:rFonts w:hint="eastAsia" w:ascii="宋体" w:hAnsi="宋体"/>
                <w:color w:val="auto"/>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71" w:type="dxa"/>
            <w:vAlign w:val="center"/>
          </w:tcPr>
          <w:p>
            <w:pPr>
              <w:spacing w:line="320" w:lineRule="exact"/>
              <w:jc w:val="center"/>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5</w:t>
            </w:r>
            <w:r>
              <w:rPr>
                <w:rFonts w:ascii="宋体" w:hAnsi="宋体"/>
                <w:color w:val="auto"/>
                <w:szCs w:val="21"/>
                <w:highlight w:val="none"/>
              </w:rPr>
              <w:t>.1</w:t>
            </w:r>
          </w:p>
        </w:tc>
        <w:tc>
          <w:tcPr>
            <w:tcW w:w="2262" w:type="dxa"/>
            <w:gridSpan w:val="3"/>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投标保证金</w:t>
            </w:r>
          </w:p>
        </w:tc>
        <w:tc>
          <w:tcPr>
            <w:tcW w:w="5939" w:type="dxa"/>
            <w:gridSpan w:val="2"/>
            <w:vAlign w:val="center"/>
          </w:tcPr>
          <w:p>
            <w:pPr>
              <w:spacing w:line="360" w:lineRule="auto"/>
              <w:rPr>
                <w:rFonts w:ascii="宋体" w:hAnsi="宋体"/>
                <w:b/>
                <w:color w:val="auto"/>
                <w:szCs w:val="21"/>
                <w:highlight w:val="none"/>
              </w:rPr>
            </w:pPr>
            <w:r>
              <w:rPr>
                <w:rFonts w:ascii="宋体" w:hAnsi="宋体"/>
                <w:b/>
                <w:color w:val="auto"/>
                <w:szCs w:val="21"/>
                <w:highlight w:val="none"/>
              </w:rPr>
              <w:t>投标保证金：</w:t>
            </w:r>
          </w:p>
          <w:p>
            <w:pPr>
              <w:spacing w:line="360" w:lineRule="auto"/>
              <w:rPr>
                <w:rFonts w:ascii="宋体" w:hAnsi="宋体"/>
                <w:color w:val="auto"/>
                <w:szCs w:val="21"/>
                <w:highlight w:val="none"/>
              </w:rPr>
            </w:pPr>
            <w:r>
              <w:rPr>
                <w:rFonts w:ascii="宋体" w:hAnsi="宋体"/>
                <w:color w:val="auto"/>
                <w:highlight w:val="none"/>
              </w:rPr>
              <w:t>■</w:t>
            </w:r>
            <w:r>
              <w:rPr>
                <w:rFonts w:ascii="宋体" w:hAnsi="宋体"/>
                <w:color w:val="auto"/>
                <w:szCs w:val="21"/>
                <w:highlight w:val="none"/>
              </w:rPr>
              <w:t>本项目无需缴纳投标保证金。</w:t>
            </w:r>
          </w:p>
          <w:p>
            <w:pPr>
              <w:spacing w:line="360" w:lineRule="auto"/>
              <w:rPr>
                <w:rFonts w:ascii="宋体" w:hAnsi="宋体"/>
                <w:color w:val="auto"/>
                <w:szCs w:val="21"/>
                <w:highlight w:val="none"/>
              </w:rPr>
            </w:pPr>
            <w:r>
              <w:rPr>
                <w:rFonts w:ascii="宋体" w:hAnsi="宋体"/>
                <w:color w:val="auto"/>
                <w:highlight w:val="none"/>
              </w:rPr>
              <w:t>□</w:t>
            </w:r>
            <w:r>
              <w:rPr>
                <w:rFonts w:ascii="宋体" w:hAnsi="宋体"/>
                <w:color w:val="auto"/>
                <w:szCs w:val="21"/>
                <w:highlight w:val="none"/>
              </w:rPr>
              <w:t>本项目需要交纳投标保证金，金额为</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整</w:t>
            </w:r>
            <w:r>
              <w:rPr>
                <w:rFonts w:ascii="宋体" w:hAnsi="宋体"/>
                <w:color w:val="auto"/>
                <w:szCs w:val="21"/>
                <w:highlight w:val="none"/>
              </w:rPr>
              <w:t>。</w:t>
            </w:r>
          </w:p>
          <w:p>
            <w:pPr>
              <w:spacing w:line="360" w:lineRule="auto"/>
              <w:rPr>
                <w:rFonts w:ascii="宋体" w:hAnsi="宋体"/>
                <w:color w:val="auto"/>
                <w:szCs w:val="21"/>
                <w:highlight w:val="none"/>
              </w:rPr>
            </w:pPr>
            <w:r>
              <w:rPr>
                <w:rFonts w:ascii="宋体" w:hAnsi="宋体"/>
                <w:color w:val="auto"/>
                <w:szCs w:val="21"/>
                <w:highlight w:val="none"/>
              </w:rPr>
              <w:t>投标保证金应在投标截止时间前以</w:t>
            </w:r>
            <w:r>
              <w:rPr>
                <w:rFonts w:hint="eastAsia" w:ascii="宋体" w:hAnsi="宋体"/>
                <w:color w:val="auto"/>
                <w:szCs w:val="21"/>
                <w:highlight w:val="none"/>
              </w:rPr>
              <w:t>支票、汇票、本票、保函等非现金形式提交至采购代理机构，投标保证金到账（保函提交）的截止时间应与投标截止时间一致。</w:t>
            </w:r>
            <w:r>
              <w:rPr>
                <w:rFonts w:ascii="宋体" w:hAnsi="宋体"/>
                <w:color w:val="auto"/>
                <w:szCs w:val="21"/>
                <w:highlight w:val="none"/>
              </w:rPr>
              <w:t>保证金有效期应与投标有效期一致。逾期不交者，</w:t>
            </w:r>
            <w:r>
              <w:rPr>
                <w:rFonts w:hint="eastAsia" w:ascii="宋体" w:hAnsi="宋体"/>
                <w:color w:val="auto"/>
                <w:szCs w:val="21"/>
                <w:highlight w:val="none"/>
              </w:rPr>
              <w:t>投标文件</w:t>
            </w:r>
            <w:r>
              <w:rPr>
                <w:rFonts w:ascii="宋体" w:hAnsi="宋体"/>
                <w:color w:val="auto"/>
                <w:szCs w:val="21"/>
                <w:highlight w:val="none"/>
              </w:rPr>
              <w:t>将</w:t>
            </w:r>
            <w:r>
              <w:rPr>
                <w:rFonts w:hint="eastAsia" w:ascii="宋体" w:hAnsi="宋体"/>
                <w:color w:val="auto"/>
                <w:szCs w:val="21"/>
                <w:highlight w:val="none"/>
              </w:rPr>
              <w:t>作无效处理。</w:t>
            </w:r>
          </w:p>
          <w:p>
            <w:pPr>
              <w:spacing w:line="360" w:lineRule="auto"/>
              <w:ind w:firstLine="425"/>
              <w:jc w:val="left"/>
              <w:rPr>
                <w:rFonts w:ascii="宋体" w:hAnsi="宋体"/>
                <w:color w:val="auto"/>
                <w:szCs w:val="21"/>
                <w:highlight w:val="none"/>
              </w:rPr>
            </w:pPr>
            <w:r>
              <w:rPr>
                <w:rFonts w:ascii="宋体" w:hAnsi="宋体"/>
                <w:color w:val="auto"/>
                <w:szCs w:val="21"/>
                <w:highlight w:val="none"/>
              </w:rPr>
              <w:t>开户银行：上海银行蓝村支行</w:t>
            </w:r>
          </w:p>
          <w:p>
            <w:pPr>
              <w:spacing w:line="360" w:lineRule="auto"/>
              <w:ind w:firstLine="425"/>
              <w:jc w:val="left"/>
              <w:rPr>
                <w:rFonts w:ascii="宋体" w:hAnsi="宋体"/>
                <w:color w:val="auto"/>
                <w:szCs w:val="21"/>
                <w:highlight w:val="none"/>
              </w:rPr>
            </w:pPr>
            <w:r>
              <w:rPr>
                <w:rFonts w:ascii="宋体" w:hAnsi="宋体"/>
                <w:color w:val="auto"/>
                <w:szCs w:val="21"/>
                <w:highlight w:val="none"/>
              </w:rPr>
              <w:t>账  户：上海百通项目管理咨询有限公司</w:t>
            </w:r>
          </w:p>
          <w:p>
            <w:pPr>
              <w:spacing w:line="360" w:lineRule="auto"/>
              <w:ind w:firstLine="425"/>
              <w:jc w:val="left"/>
              <w:rPr>
                <w:rFonts w:ascii="宋体" w:hAnsi="宋体"/>
                <w:color w:val="auto"/>
                <w:szCs w:val="21"/>
                <w:highlight w:val="none"/>
              </w:rPr>
            </w:pPr>
            <w:r>
              <w:rPr>
                <w:rFonts w:ascii="宋体" w:hAnsi="宋体"/>
                <w:color w:val="auto"/>
                <w:szCs w:val="21"/>
                <w:highlight w:val="none"/>
              </w:rPr>
              <w:t>账  号：3169 7100 0067 41975</w:t>
            </w:r>
          </w:p>
          <w:p>
            <w:pPr>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付款备注：OA号***保证金</w:t>
            </w:r>
          </w:p>
          <w:p>
            <w:pPr>
              <w:spacing w:line="360" w:lineRule="auto"/>
              <w:rPr>
                <w:rFonts w:ascii="宋体" w:hAnsi="宋体"/>
                <w:color w:val="auto"/>
                <w:szCs w:val="21"/>
                <w:highlight w:val="none"/>
              </w:rPr>
            </w:pPr>
            <w:r>
              <w:rPr>
                <w:rFonts w:hint="eastAsia" w:ascii="宋体" w:hAnsi="宋体"/>
                <w:b/>
                <w:color w:val="auto"/>
                <w:szCs w:val="21"/>
                <w:highlight w:val="none"/>
              </w:rPr>
              <w:t>注：</w:t>
            </w:r>
            <w:r>
              <w:rPr>
                <w:rFonts w:ascii="宋体" w:hAnsi="宋体"/>
                <w:b/>
                <w:color w:val="auto"/>
                <w:szCs w:val="21"/>
                <w:highlight w:val="none"/>
              </w:rPr>
              <w:t>请各</w:t>
            </w:r>
            <w:r>
              <w:rPr>
                <w:rFonts w:hint="eastAsia" w:ascii="宋体" w:hAnsi="宋体"/>
                <w:b/>
                <w:color w:val="auto"/>
                <w:szCs w:val="21"/>
                <w:highlight w:val="none"/>
              </w:rPr>
              <w:t>投标人扫描以下二维码登记保证金缴纳信息，</w:t>
            </w:r>
            <w:r>
              <w:rPr>
                <w:rFonts w:ascii="宋体" w:hAnsi="宋体"/>
                <w:b/>
                <w:color w:val="auto"/>
                <w:szCs w:val="21"/>
                <w:highlight w:val="none"/>
              </w:rPr>
              <w:t>无须到</w:t>
            </w:r>
            <w:r>
              <w:rPr>
                <w:rFonts w:hint="eastAsia" w:ascii="宋体" w:hAnsi="宋体"/>
                <w:b/>
                <w:color w:val="auto"/>
                <w:szCs w:val="21"/>
                <w:highlight w:val="none"/>
              </w:rPr>
              <w:t>采购代理机构</w:t>
            </w:r>
            <w:r>
              <w:rPr>
                <w:rFonts w:ascii="宋体" w:hAnsi="宋体"/>
                <w:b/>
                <w:color w:val="auto"/>
                <w:szCs w:val="21"/>
                <w:highlight w:val="none"/>
              </w:rPr>
              <w:t>现场换取收据</w:t>
            </w:r>
            <w:r>
              <w:rPr>
                <w:rFonts w:hint="eastAsia" w:ascii="宋体" w:hAnsi="宋体"/>
                <w:b/>
                <w:color w:val="auto"/>
                <w:szCs w:val="21"/>
                <w:highlight w:val="none"/>
              </w:rPr>
              <w:t>。保证金信息二维码：</w:t>
            </w:r>
            <w:r>
              <w:rPr>
                <w:rFonts w:ascii="宋体" w:hAnsi="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71" w:type="dxa"/>
            <w:vMerge w:val="restart"/>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.6</w:t>
            </w:r>
          </w:p>
        </w:tc>
        <w:tc>
          <w:tcPr>
            <w:tcW w:w="2262" w:type="dxa"/>
            <w:gridSpan w:val="3"/>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类似项目定义</w:t>
            </w:r>
          </w:p>
        </w:tc>
        <w:tc>
          <w:tcPr>
            <w:tcW w:w="5939" w:type="dxa"/>
            <w:gridSpan w:val="2"/>
            <w:vAlign w:val="center"/>
          </w:tcPr>
          <w:p>
            <w:pPr>
              <w:spacing w:line="400" w:lineRule="exact"/>
              <w:ind w:left="630" w:hanging="630" w:hangingChars="300"/>
              <w:jc w:val="left"/>
              <w:rPr>
                <w:rFonts w:ascii="宋体" w:hAnsi="宋体"/>
                <w:color w:val="auto"/>
                <w:szCs w:val="21"/>
                <w:highlight w:val="none"/>
              </w:rPr>
            </w:pPr>
            <w:r>
              <w:rPr>
                <w:rFonts w:hint="eastAsia" w:ascii="宋体" w:hAnsi="宋体"/>
                <w:color w:val="auto"/>
                <w:szCs w:val="21"/>
                <w:highlight w:val="none"/>
              </w:rPr>
              <w:t>类似项目是指与本工程相似或相近的工程。</w:t>
            </w:r>
          </w:p>
          <w:p>
            <w:pPr>
              <w:ind w:left="630" w:hanging="630" w:hangingChars="300"/>
              <w:rPr>
                <w:rFonts w:ascii="宋体" w:hAnsi="宋体"/>
                <w:color w:val="auto"/>
                <w:szCs w:val="21"/>
                <w:highlight w:val="none"/>
              </w:rPr>
            </w:pPr>
            <w:r>
              <w:rPr>
                <w:rFonts w:ascii="宋体" w:hAnsi="宋体"/>
                <w:color w:val="auto"/>
                <w:szCs w:val="21"/>
                <w:highlight w:val="none"/>
              </w:rPr>
              <w:t>具体判别由</w:t>
            </w:r>
            <w:r>
              <w:rPr>
                <w:rFonts w:hint="eastAsia" w:ascii="宋体" w:hAnsi="宋体"/>
                <w:color w:val="auto"/>
                <w:szCs w:val="21"/>
                <w:highlight w:val="none"/>
              </w:rPr>
              <w:t>评审委员会</w:t>
            </w:r>
            <w:r>
              <w:rPr>
                <w:rFonts w:ascii="宋体" w:hAnsi="宋体"/>
                <w:color w:val="auto"/>
                <w:szCs w:val="21"/>
                <w:highlight w:val="none"/>
              </w:rPr>
              <w:t>决定</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71" w:type="dxa"/>
            <w:vMerge w:val="continue"/>
            <w:vAlign w:val="center"/>
          </w:tcPr>
          <w:p>
            <w:pPr>
              <w:spacing w:line="320" w:lineRule="exact"/>
              <w:jc w:val="center"/>
              <w:rPr>
                <w:rFonts w:ascii="宋体" w:hAnsi="宋体"/>
                <w:color w:val="auto"/>
                <w:szCs w:val="21"/>
                <w:highlight w:val="none"/>
              </w:rPr>
            </w:pPr>
          </w:p>
        </w:tc>
        <w:tc>
          <w:tcPr>
            <w:tcW w:w="2262" w:type="dxa"/>
            <w:gridSpan w:val="3"/>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项目负责人的类似项目的要求</w:t>
            </w:r>
          </w:p>
        </w:tc>
        <w:tc>
          <w:tcPr>
            <w:tcW w:w="5939" w:type="dxa"/>
            <w:gridSpan w:val="2"/>
            <w:vAlign w:val="center"/>
          </w:tcPr>
          <w:p>
            <w:pPr>
              <w:ind w:left="630" w:hanging="630" w:hangingChars="300"/>
              <w:rPr>
                <w:rFonts w:ascii="宋体" w:hAnsi="宋体"/>
                <w:color w:val="auto"/>
                <w:szCs w:val="21"/>
                <w:highlight w:val="none"/>
              </w:rPr>
            </w:pPr>
            <w:r>
              <w:rPr>
                <w:rFonts w:hint="eastAsia" w:ascii="宋体" w:hAnsi="宋体"/>
                <w:color w:val="auto"/>
                <w:szCs w:val="21"/>
                <w:highlight w:val="none"/>
              </w:rPr>
              <w:t>年份要求：近</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rPr>
              <w:t>本次</w:t>
            </w:r>
            <w:r>
              <w:rPr>
                <w:rFonts w:hint="eastAsia" w:ascii="宋体" w:hAnsi="宋体"/>
                <w:color w:val="auto"/>
                <w:szCs w:val="21"/>
                <w:highlight w:val="none"/>
              </w:rPr>
              <w:t>投标</w:t>
            </w:r>
            <w:r>
              <w:rPr>
                <w:rFonts w:ascii="宋体" w:hAnsi="宋体"/>
                <w:color w:val="auto"/>
                <w:szCs w:val="21"/>
                <w:highlight w:val="none"/>
              </w:rPr>
              <w:t>截止之日起</w:t>
            </w:r>
            <w:r>
              <w:rPr>
                <w:rFonts w:hint="eastAsia" w:ascii="宋体" w:hAnsi="宋体"/>
                <w:color w:val="auto"/>
                <w:szCs w:val="21"/>
                <w:highlight w:val="none"/>
              </w:rPr>
              <w:t>计，倒推算日期。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71" w:type="dxa"/>
            <w:vMerge w:val="continue"/>
            <w:vAlign w:val="center"/>
          </w:tcPr>
          <w:p>
            <w:pPr>
              <w:spacing w:line="320" w:lineRule="exact"/>
              <w:jc w:val="center"/>
              <w:rPr>
                <w:rFonts w:ascii="宋体" w:hAnsi="宋体"/>
                <w:color w:val="auto"/>
                <w:szCs w:val="21"/>
                <w:highlight w:val="none"/>
              </w:rPr>
            </w:pPr>
          </w:p>
        </w:tc>
        <w:tc>
          <w:tcPr>
            <w:tcW w:w="2262" w:type="dxa"/>
            <w:gridSpan w:val="3"/>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投标人的类似项目的要求</w:t>
            </w:r>
          </w:p>
        </w:tc>
        <w:tc>
          <w:tcPr>
            <w:tcW w:w="5939" w:type="dxa"/>
            <w:gridSpan w:val="2"/>
            <w:vAlign w:val="center"/>
          </w:tcPr>
          <w:p>
            <w:pPr>
              <w:ind w:left="630" w:hanging="630" w:hangingChars="300"/>
              <w:rPr>
                <w:rFonts w:ascii="宋体" w:hAnsi="宋体"/>
                <w:color w:val="auto"/>
                <w:szCs w:val="21"/>
                <w:highlight w:val="none"/>
              </w:rPr>
            </w:pPr>
            <w:r>
              <w:rPr>
                <w:rFonts w:hint="eastAsia" w:ascii="宋体" w:hAnsi="宋体"/>
                <w:color w:val="auto"/>
                <w:szCs w:val="21"/>
                <w:highlight w:val="none"/>
              </w:rPr>
              <w:t>年份要求：近</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三</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rPr>
              <w:t>本次</w:t>
            </w:r>
            <w:r>
              <w:rPr>
                <w:rFonts w:hint="eastAsia" w:ascii="宋体" w:hAnsi="宋体"/>
                <w:color w:val="auto"/>
                <w:szCs w:val="21"/>
                <w:highlight w:val="none"/>
              </w:rPr>
              <w:t>投标</w:t>
            </w:r>
            <w:r>
              <w:rPr>
                <w:rFonts w:ascii="宋体" w:hAnsi="宋体"/>
                <w:color w:val="auto"/>
                <w:szCs w:val="21"/>
                <w:highlight w:val="none"/>
              </w:rPr>
              <w:t>截止之日起</w:t>
            </w:r>
            <w:r>
              <w:rPr>
                <w:rFonts w:hint="eastAsia" w:ascii="宋体" w:hAnsi="宋体"/>
                <w:color w:val="auto"/>
                <w:szCs w:val="21"/>
                <w:highlight w:val="none"/>
              </w:rPr>
              <w:t>计，倒推算日期。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71" w:type="dxa"/>
            <w:vMerge w:val="continue"/>
            <w:vAlign w:val="center"/>
          </w:tcPr>
          <w:p>
            <w:pPr>
              <w:spacing w:line="320" w:lineRule="exact"/>
              <w:jc w:val="center"/>
              <w:rPr>
                <w:rFonts w:ascii="宋体" w:hAnsi="宋体"/>
                <w:color w:val="auto"/>
                <w:szCs w:val="21"/>
                <w:highlight w:val="none"/>
              </w:rPr>
            </w:pPr>
          </w:p>
        </w:tc>
        <w:tc>
          <w:tcPr>
            <w:tcW w:w="2262" w:type="dxa"/>
            <w:gridSpan w:val="3"/>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投标人的信誉的要求</w:t>
            </w:r>
          </w:p>
        </w:tc>
        <w:tc>
          <w:tcPr>
            <w:tcW w:w="5939" w:type="dxa"/>
            <w:gridSpan w:val="2"/>
            <w:vAlign w:val="center"/>
          </w:tcPr>
          <w:p>
            <w:pPr>
              <w:ind w:left="630" w:hanging="630" w:hangingChars="300"/>
              <w:rPr>
                <w:rFonts w:ascii="宋体" w:hAnsi="宋体"/>
                <w:color w:val="auto"/>
                <w:szCs w:val="21"/>
                <w:highlight w:val="none"/>
              </w:rPr>
            </w:pPr>
            <w:r>
              <w:rPr>
                <w:rFonts w:hint="eastAsia" w:ascii="宋体" w:hAnsi="宋体"/>
                <w:color w:val="auto"/>
                <w:szCs w:val="21"/>
                <w:highlight w:val="none"/>
              </w:rPr>
              <w:t>年份要求：近</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rPr>
              <w:t>本次</w:t>
            </w:r>
            <w:r>
              <w:rPr>
                <w:rFonts w:hint="eastAsia" w:ascii="宋体" w:hAnsi="宋体"/>
                <w:color w:val="auto"/>
                <w:szCs w:val="21"/>
                <w:highlight w:val="none"/>
              </w:rPr>
              <w:t>投标</w:t>
            </w:r>
            <w:r>
              <w:rPr>
                <w:rFonts w:ascii="宋体" w:hAnsi="宋体"/>
                <w:color w:val="auto"/>
                <w:szCs w:val="21"/>
                <w:highlight w:val="none"/>
              </w:rPr>
              <w:t>截止之日起</w:t>
            </w:r>
            <w:r>
              <w:rPr>
                <w:rFonts w:hint="eastAsia" w:ascii="宋体" w:hAnsi="宋体"/>
                <w:color w:val="auto"/>
                <w:szCs w:val="21"/>
                <w:highlight w:val="none"/>
              </w:rPr>
              <w:t>计，倒推算日期。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871" w:type="dxa"/>
            <w:vAlign w:val="center"/>
          </w:tcPr>
          <w:p>
            <w:pPr>
              <w:spacing w:line="320" w:lineRule="exact"/>
              <w:jc w:val="center"/>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7</w:t>
            </w:r>
            <w:r>
              <w:rPr>
                <w:rFonts w:ascii="宋体" w:hAnsi="宋体"/>
                <w:color w:val="auto"/>
                <w:szCs w:val="21"/>
                <w:highlight w:val="none"/>
              </w:rPr>
              <w:t>.4</w:t>
            </w:r>
          </w:p>
        </w:tc>
        <w:tc>
          <w:tcPr>
            <w:tcW w:w="2262" w:type="dxa"/>
            <w:gridSpan w:val="3"/>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盖章和签字要求</w:t>
            </w:r>
          </w:p>
        </w:tc>
        <w:tc>
          <w:tcPr>
            <w:tcW w:w="5939" w:type="dxa"/>
            <w:gridSpan w:val="2"/>
            <w:vAlign w:val="center"/>
          </w:tcPr>
          <w:p>
            <w:pPr>
              <w:spacing w:line="320" w:lineRule="exact"/>
              <w:rPr>
                <w:rFonts w:ascii="宋体" w:hAnsi="宋体"/>
                <w:color w:val="auto"/>
                <w:szCs w:val="21"/>
                <w:highlight w:val="none"/>
              </w:rPr>
            </w:pPr>
            <w:r>
              <w:rPr>
                <w:rFonts w:hint="eastAsia" w:ascii="宋体" w:hAnsi="宋体"/>
                <w:color w:val="auto"/>
                <w:szCs w:val="21"/>
                <w:highlight w:val="none"/>
              </w:rPr>
              <w:t>盖章页：第五章“工程量清单”、第八章“投标文件格式”中标明必须签字和盖章的章页。</w:t>
            </w:r>
          </w:p>
          <w:p>
            <w:pPr>
              <w:spacing w:line="320" w:lineRule="exact"/>
              <w:rPr>
                <w:rFonts w:ascii="宋体" w:hAnsi="宋体"/>
                <w:color w:val="auto"/>
                <w:szCs w:val="21"/>
                <w:highlight w:val="none"/>
              </w:rPr>
            </w:pPr>
            <w:r>
              <w:rPr>
                <w:rFonts w:hint="eastAsia" w:ascii="宋体" w:hAnsi="宋体"/>
                <w:color w:val="auto"/>
                <w:szCs w:val="21"/>
                <w:highlight w:val="none"/>
              </w:rPr>
              <w:t>盖章和签字要求：投标人单位公章和法定代表人章（或签字）或其委托代理人章（或签字）；造价人员专用章（或签字）；项目经理章（或签字）并盖执业章。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71" w:type="dxa"/>
            <w:vAlign w:val="center"/>
          </w:tcPr>
          <w:p>
            <w:pPr>
              <w:spacing w:line="320" w:lineRule="exact"/>
              <w:jc w:val="center"/>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7</w:t>
            </w:r>
            <w:r>
              <w:rPr>
                <w:rFonts w:ascii="宋体" w:hAnsi="宋体"/>
                <w:color w:val="auto"/>
                <w:szCs w:val="21"/>
                <w:highlight w:val="none"/>
              </w:rPr>
              <w:t>.5</w:t>
            </w:r>
          </w:p>
        </w:tc>
        <w:tc>
          <w:tcPr>
            <w:tcW w:w="2262" w:type="dxa"/>
            <w:gridSpan w:val="3"/>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投标文件份数</w:t>
            </w:r>
          </w:p>
        </w:tc>
        <w:tc>
          <w:tcPr>
            <w:tcW w:w="5939" w:type="dxa"/>
            <w:gridSpan w:val="2"/>
            <w:vAlign w:val="center"/>
          </w:tcPr>
          <w:p>
            <w:pPr>
              <w:spacing w:line="360" w:lineRule="auto"/>
              <w:rPr>
                <w:rFonts w:ascii="宋体" w:hAnsi="宋体"/>
                <w:color w:val="auto"/>
                <w:szCs w:val="21"/>
                <w:highlight w:val="none"/>
              </w:rPr>
            </w:pPr>
            <w:r>
              <w:rPr>
                <w:rFonts w:hint="eastAsia" w:ascii="宋体" w:hAnsi="宋体"/>
                <w:color w:val="auto"/>
                <w:szCs w:val="21"/>
                <w:highlight w:val="none"/>
              </w:rPr>
              <w:t>正本1份，副本2份，电子版1份含清单组价文件</w:t>
            </w:r>
          </w:p>
          <w:p>
            <w:pPr>
              <w:widowControl/>
              <w:spacing w:line="440" w:lineRule="exact"/>
              <w:ind w:left="64" w:right="63" w:hanging="26"/>
              <w:rPr>
                <w:rFonts w:ascii="宋体" w:hAnsi="宋体"/>
                <w:b/>
                <w:color w:val="auto"/>
                <w:kern w:val="0"/>
                <w:szCs w:val="21"/>
                <w:highlight w:val="none"/>
              </w:rPr>
            </w:pPr>
            <w:r>
              <w:rPr>
                <w:rFonts w:hint="eastAsia" w:ascii="宋体" w:hAnsi="宋体"/>
                <w:b/>
                <w:color w:val="auto"/>
                <w:kern w:val="0"/>
                <w:szCs w:val="21"/>
                <w:highlight w:val="none"/>
              </w:rPr>
              <w:t>注：</w:t>
            </w:r>
            <w:r>
              <w:rPr>
                <w:rFonts w:ascii="宋体" w:hAnsi="宋体"/>
                <w:b/>
                <w:color w:val="auto"/>
                <w:kern w:val="0"/>
                <w:szCs w:val="21"/>
                <w:highlight w:val="none"/>
              </w:rPr>
              <w:t>疫情防控期间，投标文件电子文档应为</w:t>
            </w:r>
            <w:r>
              <w:rPr>
                <w:rFonts w:hint="eastAsia" w:ascii="宋体" w:hAnsi="宋体"/>
                <w:b/>
                <w:bCs/>
                <w:color w:val="auto"/>
                <w:kern w:val="0"/>
                <w:szCs w:val="21"/>
                <w:highlight w:val="none"/>
              </w:rPr>
              <w:t>按照招标文件要求签字盖章后原件扫描后加密保存的</w:t>
            </w:r>
            <w:r>
              <w:rPr>
                <w:rFonts w:ascii="宋体" w:hAnsi="宋体"/>
                <w:b/>
                <w:bCs/>
                <w:color w:val="auto"/>
                <w:kern w:val="0"/>
                <w:szCs w:val="21"/>
                <w:highlight w:val="none"/>
              </w:rPr>
              <w:t>PDF</w:t>
            </w:r>
            <w:r>
              <w:rPr>
                <w:rFonts w:hint="eastAsia" w:ascii="宋体" w:hAnsi="宋体"/>
                <w:b/>
                <w:bCs/>
                <w:color w:val="auto"/>
                <w:kern w:val="0"/>
                <w:szCs w:val="21"/>
                <w:highlight w:val="none"/>
              </w:rPr>
              <w:t>文件，</w:t>
            </w:r>
            <w:r>
              <w:rPr>
                <w:rFonts w:hint="eastAsia" w:ascii="宋体" w:hAnsi="宋体"/>
                <w:b/>
                <w:color w:val="auto"/>
                <w:kern w:val="0"/>
                <w:szCs w:val="21"/>
                <w:highlight w:val="none"/>
              </w:rPr>
              <w:t>纸质投标文件应与电子投标文件一致。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71" w:type="dxa"/>
            <w:vAlign w:val="center"/>
          </w:tcPr>
          <w:p>
            <w:pPr>
              <w:spacing w:line="320" w:lineRule="exact"/>
              <w:jc w:val="center"/>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7</w:t>
            </w:r>
            <w:r>
              <w:rPr>
                <w:rFonts w:ascii="宋体" w:hAnsi="宋体"/>
                <w:color w:val="auto"/>
                <w:szCs w:val="21"/>
                <w:highlight w:val="none"/>
              </w:rPr>
              <w:t>.6</w:t>
            </w:r>
          </w:p>
        </w:tc>
        <w:tc>
          <w:tcPr>
            <w:tcW w:w="2262" w:type="dxa"/>
            <w:gridSpan w:val="3"/>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投标文件装订要求</w:t>
            </w:r>
          </w:p>
        </w:tc>
        <w:tc>
          <w:tcPr>
            <w:tcW w:w="5939" w:type="dxa"/>
            <w:gridSpan w:val="2"/>
            <w:vAlign w:val="center"/>
          </w:tcPr>
          <w:p>
            <w:pPr>
              <w:spacing w:line="320" w:lineRule="exact"/>
              <w:rPr>
                <w:rFonts w:ascii="宋体" w:hAnsi="宋体"/>
                <w:color w:val="auto"/>
                <w:szCs w:val="21"/>
                <w:highlight w:val="none"/>
              </w:rPr>
            </w:pPr>
            <w:r>
              <w:rPr>
                <w:rFonts w:hint="eastAsia" w:ascii="宋体" w:hAnsi="宋体"/>
                <w:color w:val="auto"/>
                <w:szCs w:val="21"/>
                <w:highlight w:val="none"/>
              </w:rPr>
              <w:t>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71" w:type="dxa"/>
            <w:vAlign w:val="center"/>
          </w:tcPr>
          <w:p>
            <w:pPr>
              <w:spacing w:line="320" w:lineRule="exact"/>
              <w:jc w:val="center"/>
              <w:rPr>
                <w:rFonts w:ascii="宋体" w:hAnsi="宋体"/>
                <w:color w:val="auto"/>
                <w:szCs w:val="21"/>
                <w:highlight w:val="none"/>
              </w:rPr>
            </w:pPr>
            <w:r>
              <w:rPr>
                <w:rFonts w:ascii="宋体" w:hAnsi="宋体"/>
                <w:color w:val="auto"/>
                <w:szCs w:val="21"/>
                <w:highlight w:val="none"/>
              </w:rPr>
              <w:t>4.1.1</w:t>
            </w:r>
          </w:p>
        </w:tc>
        <w:tc>
          <w:tcPr>
            <w:tcW w:w="2262" w:type="dxa"/>
            <w:gridSpan w:val="3"/>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投标文件包装要求</w:t>
            </w:r>
          </w:p>
        </w:tc>
        <w:tc>
          <w:tcPr>
            <w:tcW w:w="5939" w:type="dxa"/>
            <w:gridSpan w:val="2"/>
            <w:vAlign w:val="center"/>
          </w:tcPr>
          <w:p>
            <w:pPr>
              <w:spacing w:line="320" w:lineRule="exact"/>
              <w:rPr>
                <w:rFonts w:ascii="宋体" w:hAnsi="宋体"/>
                <w:color w:val="auto"/>
                <w:szCs w:val="21"/>
                <w:highlight w:val="none"/>
              </w:rPr>
            </w:pPr>
            <w:r>
              <w:rPr>
                <w:rFonts w:hint="eastAsia" w:ascii="宋体" w:hAnsi="宋体"/>
                <w:color w:val="auto"/>
                <w:szCs w:val="21"/>
                <w:highlight w:val="none"/>
              </w:rPr>
              <w:t>所有包装均为密封包装，封口处需加盖投标人单位公章。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jc w:val="center"/>
        </w:trPr>
        <w:tc>
          <w:tcPr>
            <w:tcW w:w="871" w:type="dxa"/>
            <w:vAlign w:val="center"/>
          </w:tcPr>
          <w:p>
            <w:pPr>
              <w:spacing w:line="320" w:lineRule="exact"/>
              <w:jc w:val="center"/>
              <w:rPr>
                <w:rFonts w:ascii="宋体" w:hAnsi="宋体"/>
                <w:color w:val="auto"/>
                <w:szCs w:val="21"/>
                <w:highlight w:val="none"/>
              </w:rPr>
            </w:pPr>
            <w:r>
              <w:rPr>
                <w:rFonts w:ascii="宋体" w:hAnsi="宋体"/>
                <w:color w:val="auto"/>
                <w:szCs w:val="21"/>
                <w:highlight w:val="none"/>
              </w:rPr>
              <w:t>4.1.2</w:t>
            </w:r>
          </w:p>
        </w:tc>
        <w:tc>
          <w:tcPr>
            <w:tcW w:w="2262" w:type="dxa"/>
            <w:gridSpan w:val="3"/>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投标文件封套标记</w:t>
            </w:r>
          </w:p>
        </w:tc>
        <w:tc>
          <w:tcPr>
            <w:tcW w:w="5939" w:type="dxa"/>
            <w:gridSpan w:val="2"/>
            <w:vAlign w:val="center"/>
          </w:tcPr>
          <w:p>
            <w:pPr>
              <w:autoSpaceDE w:val="0"/>
              <w:autoSpaceDN w:val="0"/>
              <w:adjustRightInd w:val="0"/>
              <w:spacing w:line="400" w:lineRule="exact"/>
              <w:rPr>
                <w:rFonts w:ascii="宋体" w:hAnsi="宋体"/>
                <w:color w:val="auto"/>
                <w:szCs w:val="21"/>
                <w:highlight w:val="none"/>
              </w:rPr>
            </w:pPr>
            <w:r>
              <w:rPr>
                <w:rFonts w:hint="eastAsia" w:ascii="宋体" w:hAnsi="宋体"/>
                <w:color w:val="auto"/>
                <w:szCs w:val="21"/>
                <w:highlight w:val="none"/>
              </w:rPr>
              <w:t>采购人：</w:t>
            </w:r>
          </w:p>
          <w:p>
            <w:pPr>
              <w:autoSpaceDE w:val="0"/>
              <w:autoSpaceDN w:val="0"/>
              <w:adjustRightInd w:val="0"/>
              <w:spacing w:line="400" w:lineRule="exact"/>
              <w:ind w:left="2" w:leftChars="-1" w:hanging="4" w:hangingChars="2"/>
              <w:jc w:val="center"/>
              <w:rPr>
                <w:rFonts w:ascii="宋体" w:hAnsi="宋体"/>
                <w:color w:val="auto"/>
                <w:w w:val="80"/>
                <w:kern w:val="0"/>
                <w:szCs w:val="21"/>
                <w:highlight w:val="none"/>
              </w:rPr>
            </w:pPr>
            <w:r>
              <w:rPr>
                <w:rFonts w:hint="eastAsia" w:ascii="宋体" w:hAnsi="宋体"/>
                <w:color w:val="auto"/>
                <w:szCs w:val="21"/>
                <w:highlight w:val="none"/>
                <w:u w:val="single"/>
              </w:rPr>
              <w:t>（项目名称）</w:t>
            </w:r>
          </w:p>
          <w:p>
            <w:pPr>
              <w:autoSpaceDE w:val="0"/>
              <w:autoSpaceDN w:val="0"/>
              <w:adjustRightInd w:val="0"/>
              <w:spacing w:line="400" w:lineRule="exact"/>
              <w:ind w:left="2" w:leftChars="-1" w:hanging="4" w:hangingChars="2"/>
              <w:jc w:val="center"/>
              <w:rPr>
                <w:rFonts w:ascii="宋体" w:hAnsi="宋体"/>
                <w:color w:val="auto"/>
                <w:szCs w:val="21"/>
                <w:highlight w:val="none"/>
              </w:rPr>
            </w:pPr>
            <w:r>
              <w:rPr>
                <w:rFonts w:hint="eastAsia" w:ascii="宋体" w:hAnsi="宋体"/>
                <w:color w:val="auto"/>
                <w:szCs w:val="21"/>
                <w:highlight w:val="none"/>
              </w:rPr>
              <w:t>投标文件</w:t>
            </w:r>
          </w:p>
          <w:p>
            <w:pPr>
              <w:autoSpaceDE w:val="0"/>
              <w:autoSpaceDN w:val="0"/>
              <w:adjustRightInd w:val="0"/>
              <w:spacing w:line="400" w:lineRule="exact"/>
              <w:ind w:left="2" w:leftChars="-1" w:hanging="4" w:hangingChars="2"/>
              <w:rPr>
                <w:rFonts w:ascii="宋体" w:hAnsi="宋体"/>
                <w:color w:val="auto"/>
                <w:szCs w:val="21"/>
                <w:highlight w:val="none"/>
              </w:rPr>
            </w:pPr>
            <w:r>
              <w:rPr>
                <w:rFonts w:hint="eastAsia" w:ascii="宋体" w:hAnsi="宋体"/>
                <w:color w:val="auto"/>
                <w:szCs w:val="21"/>
                <w:highlight w:val="none"/>
              </w:rPr>
              <w:t>在 年 月 日 时  分前不得开启</w:t>
            </w:r>
          </w:p>
          <w:p>
            <w:pPr>
              <w:autoSpaceDE w:val="0"/>
              <w:autoSpaceDN w:val="0"/>
              <w:adjustRightInd w:val="0"/>
              <w:spacing w:line="300" w:lineRule="exact"/>
              <w:ind w:firstLine="2205" w:firstLineChars="1050"/>
              <w:jc w:val="left"/>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71" w:type="dxa"/>
            <w:vAlign w:val="center"/>
          </w:tcPr>
          <w:p>
            <w:pPr>
              <w:spacing w:line="320" w:lineRule="exact"/>
              <w:jc w:val="center"/>
              <w:rPr>
                <w:rFonts w:ascii="宋体" w:hAnsi="宋体"/>
                <w:color w:val="auto"/>
                <w:szCs w:val="21"/>
                <w:highlight w:val="none"/>
              </w:rPr>
            </w:pPr>
            <w:r>
              <w:rPr>
                <w:rFonts w:ascii="宋体" w:hAnsi="宋体"/>
                <w:color w:val="auto"/>
                <w:szCs w:val="21"/>
                <w:highlight w:val="none"/>
              </w:rPr>
              <w:t>4.2.1</w:t>
            </w:r>
          </w:p>
        </w:tc>
        <w:tc>
          <w:tcPr>
            <w:tcW w:w="2262" w:type="dxa"/>
            <w:gridSpan w:val="3"/>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开标时间（</w:t>
            </w:r>
            <w:r>
              <w:rPr>
                <w:rFonts w:ascii="宋体" w:hAnsi="宋体"/>
                <w:color w:val="auto"/>
                <w:szCs w:val="21"/>
                <w:highlight w:val="none"/>
              </w:rPr>
              <w:t>同投标截止时间</w:t>
            </w:r>
            <w:r>
              <w:rPr>
                <w:rFonts w:hint="eastAsia" w:ascii="宋体" w:hAnsi="宋体"/>
                <w:color w:val="auto"/>
                <w:szCs w:val="21"/>
                <w:highlight w:val="none"/>
              </w:rPr>
              <w:t>）</w:t>
            </w:r>
          </w:p>
        </w:tc>
        <w:tc>
          <w:tcPr>
            <w:tcW w:w="5939" w:type="dxa"/>
            <w:gridSpan w:val="2"/>
            <w:vAlign w:val="center"/>
          </w:tcPr>
          <w:p>
            <w:pPr>
              <w:spacing w:line="32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71" w:type="dxa"/>
            <w:vAlign w:val="center"/>
          </w:tcPr>
          <w:p>
            <w:pPr>
              <w:spacing w:line="320" w:lineRule="exact"/>
              <w:jc w:val="center"/>
              <w:rPr>
                <w:rFonts w:ascii="宋体" w:hAnsi="宋体"/>
                <w:color w:val="auto"/>
                <w:szCs w:val="21"/>
                <w:highlight w:val="none"/>
              </w:rPr>
            </w:pPr>
            <w:r>
              <w:rPr>
                <w:rFonts w:ascii="宋体" w:hAnsi="宋体"/>
                <w:color w:val="auto"/>
                <w:szCs w:val="21"/>
                <w:highlight w:val="none"/>
              </w:rPr>
              <w:t>4.2.2</w:t>
            </w:r>
          </w:p>
        </w:tc>
        <w:tc>
          <w:tcPr>
            <w:tcW w:w="2262" w:type="dxa"/>
            <w:gridSpan w:val="3"/>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递交投标文件地点</w:t>
            </w:r>
          </w:p>
        </w:tc>
        <w:tc>
          <w:tcPr>
            <w:tcW w:w="5939" w:type="dxa"/>
            <w:gridSpan w:val="2"/>
            <w:vAlign w:val="center"/>
          </w:tcPr>
          <w:p>
            <w:pPr>
              <w:adjustRightInd w:val="0"/>
              <w:spacing w:line="440" w:lineRule="exact"/>
              <w:ind w:left="-2" w:leftChars="-1"/>
              <w:textAlignment w:val="baseline"/>
              <w:rPr>
                <w:rFonts w:ascii="宋体" w:hAnsi="宋体"/>
                <w:color w:val="auto"/>
                <w:kern w:val="0"/>
                <w:szCs w:val="21"/>
                <w:highlight w:val="none"/>
              </w:rPr>
            </w:pPr>
            <w:r>
              <w:rPr>
                <w:rFonts w:hint="eastAsia" w:ascii="宋体" w:hAnsi="宋体" w:cs="Calibri"/>
                <w:color w:val="auto"/>
                <w:kern w:val="0"/>
                <w:szCs w:val="21"/>
                <w:highlight w:val="none"/>
              </w:rPr>
              <w:t>现场递交</w:t>
            </w:r>
            <w:r>
              <w:rPr>
                <w:rFonts w:ascii="宋体" w:hAnsi="宋体" w:cs="Calibri"/>
                <w:color w:val="auto"/>
                <w:kern w:val="0"/>
                <w:szCs w:val="21"/>
                <w:highlight w:val="none"/>
              </w:rPr>
              <w:t>,地址：</w:t>
            </w:r>
            <w:r>
              <w:rPr>
                <w:rFonts w:ascii="宋体" w:hAnsi="宋体"/>
                <w:color w:val="auto"/>
                <w:kern w:val="0"/>
                <w:szCs w:val="21"/>
                <w:highlight w:val="none"/>
              </w:rPr>
              <w:t>上海市浦东新区浦明路1229弄5楼会议室（具体会议室见当日指示牌）</w:t>
            </w:r>
          </w:p>
          <w:p>
            <w:pPr>
              <w:spacing w:line="360" w:lineRule="auto"/>
              <w:rPr>
                <w:rFonts w:ascii="宋体" w:hAnsi="宋体"/>
                <w:color w:val="auto"/>
                <w:szCs w:val="21"/>
                <w:highlight w:val="none"/>
              </w:rPr>
            </w:pPr>
            <w:r>
              <w:rPr>
                <w:rFonts w:hint="eastAsia" w:ascii="宋体" w:hAnsi="宋体"/>
                <w:b/>
                <w:color w:val="auto"/>
                <w:kern w:val="0"/>
                <w:szCs w:val="21"/>
                <w:highlight w:val="none"/>
              </w:rPr>
              <w:t>纸质版投标文件逾期送达，或纸质版投标文件未按招标文件密封的，采购人、采购代理机构将不予接收。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71" w:type="dxa"/>
            <w:vAlign w:val="center"/>
          </w:tcPr>
          <w:p>
            <w:pPr>
              <w:spacing w:line="320" w:lineRule="exact"/>
              <w:jc w:val="center"/>
              <w:rPr>
                <w:rFonts w:ascii="宋体" w:hAnsi="宋体"/>
                <w:color w:val="auto"/>
                <w:szCs w:val="21"/>
                <w:highlight w:val="none"/>
              </w:rPr>
            </w:pPr>
            <w:r>
              <w:rPr>
                <w:rFonts w:ascii="宋体" w:hAnsi="宋体"/>
                <w:color w:val="auto"/>
                <w:szCs w:val="21"/>
                <w:highlight w:val="none"/>
              </w:rPr>
              <w:t>4.2.3</w:t>
            </w:r>
          </w:p>
        </w:tc>
        <w:tc>
          <w:tcPr>
            <w:tcW w:w="2262" w:type="dxa"/>
            <w:gridSpan w:val="3"/>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是否退还投标文件</w:t>
            </w:r>
          </w:p>
        </w:tc>
        <w:tc>
          <w:tcPr>
            <w:tcW w:w="5939" w:type="dxa"/>
            <w:gridSpan w:val="2"/>
            <w:vAlign w:val="center"/>
          </w:tcPr>
          <w:p>
            <w:pPr>
              <w:spacing w:line="320" w:lineRule="exact"/>
              <w:rPr>
                <w:rFonts w:ascii="宋体" w:hAnsi="宋体"/>
                <w:color w:val="auto"/>
                <w:szCs w:val="21"/>
                <w:highlight w:val="none"/>
              </w:rPr>
            </w:pPr>
            <w:r>
              <w:rPr>
                <w:rFonts w:hint="eastAsia" w:ascii="宋体" w:hAnsi="宋体"/>
                <w:color w:val="auto"/>
                <w:szCs w:val="21"/>
                <w:highlight w:val="none"/>
              </w:rPr>
              <w:t>■否</w:t>
            </w:r>
          </w:p>
          <w:p>
            <w:pPr>
              <w:spacing w:line="320" w:lineRule="exact"/>
              <w:rPr>
                <w:rFonts w:ascii="宋体" w:hAnsi="宋体"/>
                <w:color w:val="auto"/>
                <w:szCs w:val="21"/>
                <w:highlight w:val="none"/>
              </w:rPr>
            </w:pPr>
            <w:r>
              <w:rPr>
                <w:rFonts w:hint="eastAsia" w:ascii="宋体" w:hAnsi="宋体"/>
                <w:color w:val="auto"/>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1" w:type="dxa"/>
            <w:vAlign w:val="center"/>
          </w:tcPr>
          <w:p>
            <w:pPr>
              <w:spacing w:line="320" w:lineRule="exact"/>
              <w:jc w:val="center"/>
              <w:rPr>
                <w:rFonts w:ascii="宋体" w:hAnsi="宋体"/>
                <w:color w:val="auto"/>
                <w:szCs w:val="21"/>
                <w:highlight w:val="none"/>
              </w:rPr>
            </w:pPr>
            <w:r>
              <w:rPr>
                <w:rFonts w:ascii="宋体" w:hAnsi="宋体"/>
                <w:color w:val="auto"/>
                <w:szCs w:val="21"/>
                <w:highlight w:val="none"/>
              </w:rPr>
              <w:t>5.1.1</w:t>
            </w:r>
          </w:p>
        </w:tc>
        <w:tc>
          <w:tcPr>
            <w:tcW w:w="2262" w:type="dxa"/>
            <w:gridSpan w:val="3"/>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投标人代表开标</w:t>
            </w:r>
          </w:p>
        </w:tc>
        <w:tc>
          <w:tcPr>
            <w:tcW w:w="5939" w:type="dxa"/>
            <w:gridSpan w:val="2"/>
            <w:vAlign w:val="center"/>
          </w:tcPr>
          <w:p>
            <w:pPr>
              <w:adjustRightInd w:val="0"/>
              <w:textAlignment w:val="baseline"/>
              <w:rPr>
                <w:rFonts w:ascii="宋体" w:hAnsi="宋体"/>
                <w:color w:val="auto"/>
                <w:kern w:val="0"/>
                <w:szCs w:val="21"/>
                <w:highlight w:val="none"/>
              </w:rPr>
            </w:pPr>
            <w:r>
              <w:rPr>
                <w:rFonts w:hint="eastAsia" w:ascii="宋体" w:hAnsi="宋体"/>
                <w:color w:val="auto"/>
                <w:kern w:val="0"/>
                <w:szCs w:val="21"/>
                <w:highlight w:val="none"/>
              </w:rPr>
              <w:t>参加开标的投标人代表可以是投标人的法定代表人或授权委托人；投标人代表参加开标会需携带本人有效身份证明材料原件。</w:t>
            </w:r>
          </w:p>
          <w:p>
            <w:pPr>
              <w:spacing w:line="360" w:lineRule="auto"/>
              <w:rPr>
                <w:rFonts w:ascii="宋体" w:hAnsi="宋体"/>
                <w:color w:val="auto"/>
                <w:szCs w:val="21"/>
                <w:highlight w:val="none"/>
              </w:rPr>
            </w:pPr>
            <w:r>
              <w:rPr>
                <w:rFonts w:hint="eastAsia" w:ascii="宋体" w:hAnsi="宋体"/>
                <w:color w:val="auto"/>
                <w:szCs w:val="21"/>
                <w:highlight w:val="none"/>
                <w:lang w:val="zh-CN"/>
              </w:rPr>
              <w:t>■</w:t>
            </w:r>
            <w:r>
              <w:rPr>
                <w:rFonts w:hint="eastAsia" w:ascii="宋体" w:hAnsi="宋体"/>
                <w:color w:val="auto"/>
                <w:szCs w:val="21"/>
                <w:highlight w:val="none"/>
              </w:rPr>
              <w:t>现场开标：</w:t>
            </w:r>
          </w:p>
          <w:p>
            <w:pPr>
              <w:spacing w:line="360" w:lineRule="auto"/>
              <w:rPr>
                <w:rFonts w:ascii="宋体" w:hAnsi="宋体"/>
                <w:b/>
                <w:color w:val="auto"/>
                <w:szCs w:val="21"/>
                <w:highlight w:val="none"/>
              </w:rPr>
            </w:pPr>
            <w:r>
              <w:rPr>
                <w:rFonts w:hint="eastAsia" w:ascii="宋体" w:hAnsi="宋体"/>
                <w:b/>
                <w:color w:val="auto"/>
                <w:szCs w:val="21"/>
                <w:highlight w:val="none"/>
              </w:rPr>
              <w:t>疫情防控期间，请配合采购代理机构做好以下防范工作，否则将对投标人做不利处理：</w:t>
            </w:r>
          </w:p>
          <w:p>
            <w:pPr>
              <w:spacing w:line="360" w:lineRule="auto"/>
              <w:rPr>
                <w:rFonts w:ascii="宋体" w:hAnsi="宋体"/>
                <w:b/>
                <w:bCs/>
                <w:color w:val="auto"/>
                <w:szCs w:val="21"/>
                <w:highlight w:val="none"/>
              </w:rPr>
            </w:pPr>
            <w:r>
              <w:rPr>
                <w:rFonts w:ascii="宋体" w:hAnsi="宋体"/>
                <w:b/>
                <w:bCs/>
                <w:color w:val="auto"/>
                <w:szCs w:val="21"/>
                <w:highlight w:val="none"/>
              </w:rPr>
              <w:t>1）</w:t>
            </w:r>
            <w:r>
              <w:rPr>
                <w:rFonts w:hint="eastAsia" w:ascii="宋体" w:hAnsi="宋体"/>
                <w:b/>
                <w:bCs/>
                <w:color w:val="auto"/>
                <w:szCs w:val="21"/>
                <w:highlight w:val="none"/>
              </w:rPr>
              <w:t>所有参会人员必须佩戴口罩、接受体温测量、填写开评标人员健康信息登记表、查看随申码后隔位就座；现场测温体（额）温不得超过</w:t>
            </w:r>
            <w:r>
              <w:rPr>
                <w:rFonts w:ascii="宋体" w:hAnsi="宋体"/>
                <w:b/>
                <w:bCs/>
                <w:color w:val="auto"/>
                <w:szCs w:val="21"/>
                <w:highlight w:val="none"/>
              </w:rPr>
              <w:t>37.3℃，随申码为绿色的方可进入开标室</w:t>
            </w:r>
            <w:r>
              <w:rPr>
                <w:rFonts w:hint="eastAsia" w:ascii="宋体" w:hAnsi="宋体"/>
                <w:b/>
                <w:bCs/>
                <w:color w:val="auto"/>
                <w:szCs w:val="21"/>
                <w:highlight w:val="none"/>
              </w:rPr>
              <w:t>；</w:t>
            </w:r>
          </w:p>
          <w:p>
            <w:pPr>
              <w:spacing w:line="360" w:lineRule="auto"/>
              <w:rPr>
                <w:rFonts w:ascii="宋体" w:hAnsi="宋体"/>
                <w:b/>
                <w:bCs/>
                <w:color w:val="auto"/>
                <w:szCs w:val="21"/>
                <w:highlight w:val="none"/>
              </w:rPr>
            </w:pPr>
            <w:r>
              <w:rPr>
                <w:rFonts w:ascii="宋体" w:hAnsi="宋体"/>
                <w:b/>
                <w:bCs/>
                <w:color w:val="auto"/>
                <w:szCs w:val="21"/>
                <w:highlight w:val="none"/>
              </w:rPr>
              <w:t>2）现场会议签到、结果确认等需投标人汇总签字的环节，视为投标人委托代理机构代签；投标人也可携带签字章，现场交由经办人员盖章以代替签字；</w:t>
            </w:r>
          </w:p>
          <w:p>
            <w:pPr>
              <w:spacing w:line="360" w:lineRule="auto"/>
              <w:rPr>
                <w:rFonts w:ascii="宋体" w:hAnsi="宋体"/>
                <w:color w:val="auto"/>
                <w:szCs w:val="21"/>
                <w:highlight w:val="none"/>
                <w:lang w:val="zh-CN"/>
              </w:rPr>
            </w:pPr>
            <w:r>
              <w:rPr>
                <w:rFonts w:ascii="宋体" w:hAnsi="宋体"/>
                <w:b/>
                <w:bCs/>
                <w:color w:val="auto"/>
                <w:szCs w:val="21"/>
                <w:highlight w:val="none"/>
              </w:rPr>
              <w:t>3）投标人对开标环节有异议的，应当场提出。</w:t>
            </w:r>
          </w:p>
          <w:p>
            <w:pPr>
              <w:spacing w:line="360" w:lineRule="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远程开标</w:t>
            </w:r>
          </w:p>
          <w:p>
            <w:pPr>
              <w:spacing w:line="360" w:lineRule="auto"/>
              <w:rPr>
                <w:rFonts w:ascii="宋体" w:hAnsi="宋体"/>
                <w:b/>
                <w:color w:val="auto"/>
                <w:szCs w:val="21"/>
                <w:highlight w:val="none"/>
              </w:rPr>
            </w:pPr>
            <w:r>
              <w:rPr>
                <w:rFonts w:hint="eastAsia" w:ascii="宋体" w:hAnsi="宋体"/>
                <w:b/>
                <w:color w:val="auto"/>
                <w:szCs w:val="21"/>
                <w:highlight w:val="none"/>
              </w:rPr>
              <w:t>远程开标的具体要求如下：</w:t>
            </w:r>
          </w:p>
          <w:p>
            <w:pPr>
              <w:adjustRightInd w:val="0"/>
              <w:spacing w:line="360" w:lineRule="auto"/>
              <w:textAlignment w:val="baseline"/>
              <w:rPr>
                <w:rFonts w:ascii="宋体" w:hAnsi="宋体"/>
                <w:b/>
                <w:color w:val="auto"/>
                <w:szCs w:val="21"/>
                <w:highlight w:val="none"/>
              </w:rPr>
            </w:pPr>
            <w:r>
              <w:rPr>
                <w:rFonts w:ascii="宋体" w:hAnsi="宋体"/>
                <w:b/>
                <w:color w:val="auto"/>
                <w:szCs w:val="21"/>
                <w:highlight w:val="none"/>
              </w:rPr>
              <w:t>1）在投标截止时间前各投标人的授权代表应保持通讯畅通，及时打开远程视频系统，准时参加开标会议。纸质版投标文件应提前邮寄或快递至指定地点。</w:t>
            </w:r>
          </w:p>
          <w:p>
            <w:pPr>
              <w:adjustRightInd w:val="0"/>
              <w:spacing w:line="360" w:lineRule="auto"/>
              <w:textAlignment w:val="baseline"/>
              <w:rPr>
                <w:rFonts w:ascii="宋体" w:hAnsi="宋体"/>
                <w:b/>
                <w:color w:val="auto"/>
                <w:szCs w:val="21"/>
                <w:highlight w:val="none"/>
              </w:rPr>
            </w:pPr>
            <w:r>
              <w:rPr>
                <w:rFonts w:ascii="宋体" w:hAnsi="宋体"/>
                <w:b/>
                <w:color w:val="auto"/>
                <w:szCs w:val="21"/>
                <w:highlight w:val="none"/>
              </w:rPr>
              <w:t>2）远程视频系统采用：</w:t>
            </w:r>
            <w:r>
              <w:rPr>
                <w:rFonts w:hint="eastAsia" w:ascii="宋体" w:hAnsi="宋体"/>
                <w:b/>
                <w:color w:val="auto"/>
                <w:szCs w:val="21"/>
                <w:highlight w:val="none"/>
              </w:rPr>
              <w:t>（由采购代理机构经办人自行选择填写）</w:t>
            </w:r>
          </w:p>
          <w:p>
            <w:pPr>
              <w:adjustRightInd w:val="0"/>
              <w:spacing w:line="360" w:lineRule="auto"/>
              <w:textAlignment w:val="baseline"/>
              <w:rPr>
                <w:rFonts w:ascii="宋体" w:hAnsi="宋体"/>
                <w:b/>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）各投标人授权代表进入远程视频系统后请根据开标会议的主持人（采购代理机构经办人）的安排提示下进行远程开标活动。</w:t>
            </w:r>
          </w:p>
          <w:p>
            <w:pPr>
              <w:adjustRightInd w:val="0"/>
              <w:spacing w:line="360" w:lineRule="auto"/>
              <w:textAlignment w:val="baseline"/>
              <w:rPr>
                <w:rFonts w:ascii="宋体" w:hAnsi="宋体"/>
                <w:b/>
                <w:color w:val="auto"/>
                <w:szCs w:val="21"/>
                <w:highlight w:val="none"/>
              </w:rPr>
            </w:pPr>
            <w:r>
              <w:rPr>
                <w:rFonts w:ascii="宋体" w:hAnsi="宋体"/>
                <w:b/>
                <w:color w:val="auto"/>
                <w:szCs w:val="21"/>
                <w:highlight w:val="none"/>
              </w:rPr>
              <w:t>4）</w:t>
            </w:r>
            <w:r>
              <w:rPr>
                <w:rFonts w:hint="eastAsia" w:ascii="宋体" w:hAnsi="宋体"/>
                <w:b/>
                <w:bCs/>
                <w:color w:val="auto"/>
                <w:szCs w:val="21"/>
                <w:highlight w:val="none"/>
              </w:rPr>
              <w:t>纸质文件的密封检查由采购代理机构经办人通过视频向投标人展示，以证明文件密封情况良好，未被事先拆封或调包</w:t>
            </w:r>
            <w:r>
              <w:rPr>
                <w:rFonts w:hint="eastAsia" w:ascii="宋体" w:hAnsi="宋体"/>
                <w:b/>
                <w:color w:val="auto"/>
                <w:szCs w:val="21"/>
                <w:highlight w:val="none"/>
              </w:rPr>
              <w:t>。</w:t>
            </w:r>
            <w:r>
              <w:rPr>
                <w:rFonts w:hint="eastAsia" w:ascii="宋体" w:hAnsi="宋体"/>
                <w:b/>
                <w:bCs/>
                <w:color w:val="auto"/>
                <w:szCs w:val="21"/>
                <w:highlight w:val="none"/>
              </w:rPr>
              <w:t>通过</w:t>
            </w:r>
            <w:r>
              <w:rPr>
                <w:rFonts w:ascii="宋体" w:hAnsi="宋体"/>
                <w:b/>
                <w:bCs/>
                <w:color w:val="auto"/>
                <w:szCs w:val="21"/>
                <w:highlight w:val="none"/>
              </w:rPr>
              <w:t>PDF格式传送的投标文件，开标时由投标人发送文件密码给采购代理机构经办人。</w:t>
            </w:r>
          </w:p>
          <w:p>
            <w:pPr>
              <w:adjustRightInd w:val="0"/>
              <w:spacing w:line="360" w:lineRule="auto"/>
              <w:textAlignment w:val="baseline"/>
              <w:rPr>
                <w:rFonts w:ascii="宋体" w:hAnsi="宋体"/>
                <w:b/>
                <w:color w:val="auto"/>
                <w:szCs w:val="21"/>
                <w:highlight w:val="none"/>
              </w:rPr>
            </w:pPr>
            <w:r>
              <w:rPr>
                <w:rFonts w:ascii="宋体" w:hAnsi="宋体"/>
                <w:b/>
                <w:color w:val="auto"/>
                <w:szCs w:val="21"/>
                <w:highlight w:val="none"/>
              </w:rPr>
              <w:t>5）采购代理机构经办人现场输入投标人提供的密码打开各投标人加密的PDF版投标文件，核对参加远程开标会议授权代表的身份后宣读投标文件中开标一览表中的内容，并记录。</w:t>
            </w:r>
            <w:r>
              <w:rPr>
                <w:rFonts w:ascii="宋体" w:hAnsi="宋体"/>
                <w:b/>
                <w:color w:val="auto"/>
                <w:kern w:val="0"/>
                <w:szCs w:val="21"/>
                <w:highlight w:val="none"/>
              </w:rPr>
              <w:t>开标情况记录表需要投标人授权代表签字确认的，</w:t>
            </w:r>
            <w:r>
              <w:rPr>
                <w:rFonts w:hint="eastAsia" w:ascii="宋体" w:hAnsi="宋体"/>
                <w:b/>
                <w:color w:val="auto"/>
                <w:kern w:val="0"/>
                <w:szCs w:val="21"/>
                <w:highlight w:val="none"/>
              </w:rPr>
              <w:t>□事先征得投标人同意后，由采购代理机构经办人代签，并提交投标人检查认可。□通过易土</w:t>
            </w:r>
            <w:r>
              <w:rPr>
                <w:rFonts w:ascii="宋体" w:hAnsi="宋体"/>
                <w:b/>
                <w:color w:val="auto"/>
                <w:kern w:val="0"/>
                <w:szCs w:val="21"/>
                <w:highlight w:val="none"/>
              </w:rPr>
              <w:t>365电子招投标平台（www.etu365.com）</w:t>
            </w:r>
            <w:r>
              <w:rPr>
                <w:rFonts w:hint="eastAsia" w:ascii="宋体" w:hAnsi="宋体"/>
                <w:b/>
                <w:color w:val="auto"/>
                <w:kern w:val="0"/>
                <w:szCs w:val="21"/>
                <w:highlight w:val="none"/>
              </w:rPr>
              <w:t>签署。</w:t>
            </w:r>
          </w:p>
          <w:p>
            <w:pPr>
              <w:spacing w:line="320" w:lineRule="exact"/>
              <w:rPr>
                <w:rFonts w:ascii="宋体" w:hAnsi="宋体"/>
                <w:color w:val="auto"/>
                <w:szCs w:val="21"/>
                <w:highlight w:val="none"/>
              </w:rPr>
            </w:pPr>
            <w:r>
              <w:rPr>
                <w:rFonts w:ascii="宋体" w:hAnsi="宋体"/>
                <w:b/>
                <w:color w:val="auto"/>
                <w:szCs w:val="21"/>
                <w:highlight w:val="none"/>
              </w:rPr>
              <w:t>7）远程视频开标的全过程由采购代理机构经办人员录音录像。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71" w:type="dxa"/>
            <w:vAlign w:val="center"/>
          </w:tcPr>
          <w:p>
            <w:pPr>
              <w:spacing w:line="320" w:lineRule="exact"/>
              <w:jc w:val="center"/>
              <w:rPr>
                <w:rFonts w:ascii="宋体" w:hAnsi="宋体"/>
                <w:color w:val="auto"/>
                <w:szCs w:val="21"/>
                <w:highlight w:val="none"/>
              </w:rPr>
            </w:pPr>
            <w:r>
              <w:rPr>
                <w:rFonts w:ascii="宋体" w:hAnsi="宋体"/>
                <w:color w:val="auto"/>
                <w:szCs w:val="21"/>
                <w:highlight w:val="none"/>
              </w:rPr>
              <w:t>5.1.2</w:t>
            </w:r>
          </w:p>
        </w:tc>
        <w:tc>
          <w:tcPr>
            <w:tcW w:w="2262" w:type="dxa"/>
            <w:gridSpan w:val="3"/>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投标文件开启</w:t>
            </w:r>
          </w:p>
        </w:tc>
        <w:tc>
          <w:tcPr>
            <w:tcW w:w="5939" w:type="dxa"/>
            <w:gridSpan w:val="2"/>
            <w:vAlign w:val="center"/>
          </w:tcPr>
          <w:p>
            <w:pPr>
              <w:spacing w:line="360" w:lineRule="auto"/>
              <w:rPr>
                <w:rFonts w:ascii="宋体" w:hAnsi="宋体"/>
                <w:color w:val="auto"/>
                <w:kern w:val="0"/>
                <w:szCs w:val="21"/>
                <w:highlight w:val="none"/>
              </w:rPr>
            </w:pPr>
            <w:r>
              <w:rPr>
                <w:rFonts w:hint="eastAsia" w:ascii="宋体" w:hAnsi="宋体"/>
                <w:color w:val="auto"/>
                <w:kern w:val="0"/>
                <w:szCs w:val="21"/>
                <w:highlight w:val="none"/>
              </w:rPr>
              <w:t>由投标人代表对投标文件密封情况和完整性等是否符合招标文件要求进行检查。符合要求的投标文件按</w:t>
            </w:r>
            <w:r>
              <w:rPr>
                <w:rFonts w:hint="eastAsia" w:ascii="宋体" w:hAnsi="宋体"/>
                <w:color w:val="auto"/>
                <w:kern w:val="0"/>
                <w:szCs w:val="21"/>
                <w:highlight w:val="none"/>
                <w:lang w:val="zh-CN"/>
              </w:rPr>
              <w:t>■</w:t>
            </w:r>
            <w:r>
              <w:rPr>
                <w:rFonts w:hint="eastAsia" w:ascii="宋体" w:hAnsi="宋体"/>
                <w:color w:val="auto"/>
                <w:kern w:val="0"/>
                <w:szCs w:val="21"/>
                <w:highlight w:val="none"/>
              </w:rPr>
              <w:t>先到先开□后到先开的顺序开启。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71" w:type="dxa"/>
            <w:vAlign w:val="center"/>
          </w:tcPr>
          <w:p>
            <w:pPr>
              <w:spacing w:line="320" w:lineRule="exact"/>
              <w:jc w:val="center"/>
              <w:rPr>
                <w:rFonts w:ascii="宋体" w:hAnsi="宋体"/>
                <w:color w:val="auto"/>
                <w:szCs w:val="21"/>
                <w:highlight w:val="none"/>
              </w:rPr>
            </w:pPr>
            <w:r>
              <w:rPr>
                <w:rFonts w:ascii="宋体" w:hAnsi="宋体"/>
                <w:color w:val="auto"/>
                <w:szCs w:val="21"/>
                <w:highlight w:val="none"/>
              </w:rPr>
              <w:t>6.1.1</w:t>
            </w:r>
          </w:p>
        </w:tc>
        <w:tc>
          <w:tcPr>
            <w:tcW w:w="2262" w:type="dxa"/>
            <w:gridSpan w:val="3"/>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评标委员会组成</w:t>
            </w:r>
          </w:p>
        </w:tc>
        <w:tc>
          <w:tcPr>
            <w:tcW w:w="5939" w:type="dxa"/>
            <w:gridSpan w:val="2"/>
            <w:vAlign w:val="center"/>
          </w:tcPr>
          <w:p>
            <w:pPr>
              <w:spacing w:line="320" w:lineRule="exact"/>
              <w:rPr>
                <w:rFonts w:ascii="宋体" w:hAnsi="宋体"/>
                <w:color w:val="auto"/>
                <w:szCs w:val="21"/>
                <w:highlight w:val="none"/>
              </w:rPr>
            </w:pPr>
            <w:r>
              <w:rPr>
                <w:rFonts w:hint="eastAsia" w:ascii="宋体" w:hAnsi="宋体"/>
                <w:color w:val="auto"/>
                <w:szCs w:val="21"/>
                <w:highlight w:val="none"/>
              </w:rPr>
              <w:t>依法组建，成员为5人及以上的单数组成。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71" w:type="dxa"/>
            <w:vAlign w:val="center"/>
          </w:tcPr>
          <w:p>
            <w:pPr>
              <w:spacing w:line="320" w:lineRule="exact"/>
              <w:jc w:val="center"/>
              <w:rPr>
                <w:rFonts w:ascii="宋体" w:hAnsi="宋体"/>
                <w:color w:val="auto"/>
                <w:szCs w:val="21"/>
                <w:highlight w:val="none"/>
              </w:rPr>
            </w:pPr>
            <w:r>
              <w:rPr>
                <w:rFonts w:ascii="宋体" w:hAnsi="宋体"/>
                <w:color w:val="auto"/>
                <w:szCs w:val="21"/>
                <w:highlight w:val="none"/>
              </w:rPr>
              <w:t>6.3</w:t>
            </w:r>
          </w:p>
        </w:tc>
        <w:tc>
          <w:tcPr>
            <w:tcW w:w="2262" w:type="dxa"/>
            <w:gridSpan w:val="3"/>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评标</w:t>
            </w:r>
          </w:p>
        </w:tc>
        <w:tc>
          <w:tcPr>
            <w:tcW w:w="5939" w:type="dxa"/>
            <w:gridSpan w:val="2"/>
            <w:vAlign w:val="center"/>
          </w:tcPr>
          <w:p>
            <w:pPr>
              <w:adjustRightInd w:val="0"/>
              <w:spacing w:line="360" w:lineRule="auto"/>
              <w:textAlignment w:val="baseline"/>
              <w:rPr>
                <w:rFonts w:ascii="宋体" w:hAnsi="宋体"/>
                <w:b/>
                <w:color w:val="auto"/>
                <w:kern w:val="0"/>
                <w:szCs w:val="21"/>
                <w:highlight w:val="none"/>
              </w:rPr>
            </w:pPr>
            <w:r>
              <w:rPr>
                <w:rFonts w:hint="eastAsia" w:ascii="宋体" w:hAnsi="宋体"/>
                <w:color w:val="auto"/>
                <w:kern w:val="0"/>
                <w:szCs w:val="21"/>
                <w:highlight w:val="none"/>
                <w:lang w:val="zh-CN"/>
              </w:rPr>
              <w:t>■</w:t>
            </w:r>
            <w:r>
              <w:rPr>
                <w:rFonts w:hint="eastAsia" w:ascii="宋体" w:hAnsi="宋体"/>
                <w:color w:val="auto"/>
                <w:kern w:val="0"/>
                <w:szCs w:val="21"/>
                <w:highlight w:val="none"/>
              </w:rPr>
              <w:t>现场评标：</w:t>
            </w:r>
            <w:r>
              <w:rPr>
                <w:rFonts w:hint="eastAsia" w:ascii="宋体" w:hAnsi="宋体"/>
                <w:b/>
                <w:color w:val="auto"/>
                <w:kern w:val="0"/>
                <w:szCs w:val="21"/>
                <w:highlight w:val="none"/>
              </w:rPr>
              <w:t>疫情防控期间，请配合采购代理机构做好以下防范工作：</w:t>
            </w:r>
          </w:p>
          <w:p>
            <w:pPr>
              <w:adjustRightInd w:val="0"/>
              <w:spacing w:line="360" w:lineRule="auto"/>
              <w:textAlignment w:val="baseline"/>
              <w:rPr>
                <w:rFonts w:ascii="宋体" w:hAnsi="宋体"/>
                <w:b/>
                <w:bCs/>
                <w:color w:val="auto"/>
                <w:kern w:val="0"/>
                <w:szCs w:val="21"/>
                <w:highlight w:val="none"/>
              </w:rPr>
            </w:pPr>
            <w:r>
              <w:rPr>
                <w:rFonts w:ascii="宋体" w:hAnsi="宋体"/>
                <w:b/>
                <w:bCs/>
                <w:color w:val="auto"/>
                <w:kern w:val="0"/>
                <w:szCs w:val="21"/>
                <w:highlight w:val="none"/>
              </w:rPr>
              <w:t>1）</w:t>
            </w:r>
            <w:r>
              <w:rPr>
                <w:rFonts w:hint="eastAsia" w:ascii="宋体" w:hAnsi="宋体"/>
                <w:b/>
                <w:bCs/>
                <w:color w:val="auto"/>
                <w:kern w:val="0"/>
                <w:szCs w:val="21"/>
                <w:highlight w:val="none"/>
              </w:rPr>
              <w:t>所有参会人员必须佩戴口罩、接受体温测量、填写开评标人员健康信息登记表、查看随申码后隔位就座；现场测温体（额）温不得超过37.3℃，随申码为绿色的方可进入评标室；</w:t>
            </w:r>
          </w:p>
          <w:p>
            <w:pPr>
              <w:adjustRightInd w:val="0"/>
              <w:spacing w:line="360" w:lineRule="auto"/>
              <w:textAlignment w:val="baseline"/>
              <w:rPr>
                <w:rFonts w:ascii="宋体" w:hAnsi="宋体"/>
                <w:b/>
                <w:bCs/>
                <w:color w:val="auto"/>
                <w:kern w:val="0"/>
                <w:szCs w:val="21"/>
                <w:highlight w:val="none"/>
              </w:rPr>
            </w:pPr>
            <w:r>
              <w:rPr>
                <w:rFonts w:ascii="宋体" w:hAnsi="宋体"/>
                <w:b/>
                <w:bCs/>
                <w:color w:val="auto"/>
                <w:kern w:val="0"/>
                <w:szCs w:val="21"/>
                <w:highlight w:val="none"/>
              </w:rPr>
              <w:t>2）现场会议签到、结果确认等需评标委员会成员汇总签字的环节，视为委托</w:t>
            </w:r>
            <w:r>
              <w:rPr>
                <w:rFonts w:hint="eastAsia" w:ascii="宋体" w:hAnsi="宋体"/>
                <w:b/>
                <w:color w:val="auto"/>
                <w:kern w:val="0"/>
                <w:szCs w:val="21"/>
                <w:highlight w:val="none"/>
              </w:rPr>
              <w:t>采购</w:t>
            </w:r>
            <w:r>
              <w:rPr>
                <w:rFonts w:hint="eastAsia" w:ascii="宋体" w:hAnsi="宋体"/>
                <w:b/>
                <w:bCs/>
                <w:color w:val="auto"/>
                <w:kern w:val="0"/>
                <w:szCs w:val="21"/>
                <w:highlight w:val="none"/>
              </w:rPr>
              <w:t>代理机构代签；评审专家也可携带签字章，现场交由经办人员盖章以代替签字；</w:t>
            </w:r>
          </w:p>
          <w:p>
            <w:pPr>
              <w:adjustRightInd w:val="0"/>
              <w:spacing w:line="360" w:lineRule="auto"/>
              <w:textAlignment w:val="baseline"/>
              <w:rPr>
                <w:rFonts w:ascii="宋体" w:hAnsi="宋体"/>
                <w:color w:val="auto"/>
                <w:kern w:val="0"/>
                <w:szCs w:val="21"/>
                <w:highlight w:val="none"/>
              </w:rPr>
            </w:pPr>
            <w:r>
              <w:rPr>
                <w:rFonts w:ascii="宋体" w:hAnsi="宋体"/>
                <w:b/>
                <w:bCs/>
                <w:color w:val="auto"/>
                <w:kern w:val="0"/>
                <w:szCs w:val="21"/>
                <w:highlight w:val="none"/>
              </w:rPr>
              <w:t>3）</w:t>
            </w:r>
            <w:r>
              <w:rPr>
                <w:rFonts w:hint="eastAsia" w:ascii="宋体" w:hAnsi="宋体"/>
                <w:b/>
                <w:color w:val="auto"/>
                <w:kern w:val="0"/>
                <w:szCs w:val="21"/>
                <w:highlight w:val="none"/>
              </w:rPr>
              <w:t>评标流程按系统流程常规进行。</w:t>
            </w:r>
          </w:p>
          <w:p>
            <w:pPr>
              <w:adjustRightInd w:val="0"/>
              <w:spacing w:line="360" w:lineRule="auto"/>
              <w:textAlignment w:val="baseline"/>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远程评标</w:t>
            </w:r>
          </w:p>
          <w:p>
            <w:pPr>
              <w:adjustRightInd w:val="0"/>
              <w:spacing w:line="360" w:lineRule="auto"/>
              <w:textAlignment w:val="baseline"/>
              <w:rPr>
                <w:rFonts w:ascii="宋体" w:hAnsi="宋体"/>
                <w:b/>
                <w:color w:val="auto"/>
                <w:kern w:val="0"/>
                <w:szCs w:val="21"/>
                <w:highlight w:val="none"/>
              </w:rPr>
            </w:pPr>
            <w:r>
              <w:rPr>
                <w:rFonts w:hint="eastAsia" w:ascii="宋体" w:hAnsi="宋体"/>
                <w:b/>
                <w:color w:val="auto"/>
                <w:kern w:val="0"/>
                <w:szCs w:val="21"/>
                <w:highlight w:val="none"/>
              </w:rPr>
              <w:t>远程评标的具体要求如下：</w:t>
            </w:r>
          </w:p>
          <w:p>
            <w:pPr>
              <w:adjustRightInd w:val="0"/>
              <w:spacing w:line="360" w:lineRule="auto"/>
              <w:textAlignment w:val="baseline"/>
              <w:rPr>
                <w:rFonts w:ascii="宋体" w:hAnsi="宋体"/>
                <w:b/>
                <w:color w:val="auto"/>
                <w:kern w:val="0"/>
                <w:szCs w:val="21"/>
                <w:highlight w:val="none"/>
              </w:rPr>
            </w:pPr>
            <w:r>
              <w:rPr>
                <w:rFonts w:ascii="宋体" w:hAnsi="宋体"/>
                <w:b/>
                <w:color w:val="auto"/>
                <w:kern w:val="0"/>
                <w:szCs w:val="21"/>
                <w:highlight w:val="none"/>
              </w:rPr>
              <w:t>1</w:t>
            </w:r>
            <w:r>
              <w:rPr>
                <w:rFonts w:hint="eastAsia" w:ascii="宋体" w:hAnsi="宋体"/>
                <w:b/>
                <w:color w:val="auto"/>
                <w:kern w:val="0"/>
                <w:szCs w:val="21"/>
                <w:highlight w:val="none"/>
              </w:rPr>
              <w:t>）在抽取评审专家时采购代理机构经办人员应备注好本项目评标形式是现场评标还是远程评标，远程评标需要评审专家的基本注意事项简要告知。</w:t>
            </w:r>
          </w:p>
          <w:p>
            <w:pPr>
              <w:adjustRightInd w:val="0"/>
              <w:spacing w:line="360" w:lineRule="auto"/>
              <w:textAlignment w:val="baseline"/>
              <w:rPr>
                <w:rFonts w:ascii="宋体" w:hAnsi="宋体"/>
                <w:b/>
                <w:color w:val="auto"/>
                <w:kern w:val="0"/>
                <w:szCs w:val="21"/>
                <w:highlight w:val="none"/>
              </w:rPr>
            </w:pPr>
            <w:r>
              <w:rPr>
                <w:rFonts w:ascii="宋体" w:hAnsi="宋体"/>
                <w:b/>
                <w:color w:val="auto"/>
                <w:kern w:val="0"/>
                <w:szCs w:val="21"/>
                <w:highlight w:val="none"/>
              </w:rPr>
              <w:t>2</w:t>
            </w:r>
            <w:r>
              <w:rPr>
                <w:rFonts w:hint="eastAsia" w:ascii="宋体" w:hAnsi="宋体"/>
                <w:b/>
                <w:color w:val="auto"/>
                <w:kern w:val="0"/>
                <w:szCs w:val="21"/>
                <w:highlight w:val="none"/>
              </w:rPr>
              <w:t>）采购代理机构经办人员评标前半小时获取评审专家名单后应及时联系评审专家，并详细介绍远程评标流程。让评审专家保持通讯畅通，及时打开远程视频系统，准时参加评标会议。</w:t>
            </w:r>
          </w:p>
          <w:p>
            <w:pPr>
              <w:adjustRightInd w:val="0"/>
              <w:spacing w:line="360" w:lineRule="auto"/>
              <w:textAlignment w:val="baseline"/>
              <w:rPr>
                <w:rFonts w:ascii="宋体" w:hAnsi="宋体"/>
                <w:b/>
                <w:color w:val="auto"/>
                <w:kern w:val="0"/>
                <w:szCs w:val="21"/>
                <w:highlight w:val="none"/>
              </w:rPr>
            </w:pPr>
            <w:r>
              <w:rPr>
                <w:rFonts w:ascii="宋体" w:hAnsi="宋体"/>
                <w:b/>
                <w:color w:val="auto"/>
                <w:kern w:val="0"/>
                <w:szCs w:val="21"/>
                <w:highlight w:val="none"/>
              </w:rPr>
              <w:t>3）评标专家须提供封闭评审场所，评审期间不得对外联络，全程保持视频畅通状态。</w:t>
            </w:r>
          </w:p>
          <w:p>
            <w:pPr>
              <w:adjustRightInd w:val="0"/>
              <w:spacing w:line="360" w:lineRule="auto"/>
              <w:textAlignment w:val="baseline"/>
              <w:rPr>
                <w:rFonts w:ascii="宋体" w:hAnsi="宋体"/>
                <w:b/>
                <w:color w:val="auto"/>
                <w:kern w:val="0"/>
                <w:szCs w:val="21"/>
                <w:highlight w:val="none"/>
              </w:rPr>
            </w:pPr>
            <w:r>
              <w:rPr>
                <w:rFonts w:ascii="宋体" w:hAnsi="宋体"/>
                <w:b/>
                <w:color w:val="auto"/>
                <w:kern w:val="0"/>
                <w:szCs w:val="21"/>
                <w:highlight w:val="none"/>
              </w:rPr>
              <w:t>4</w:t>
            </w:r>
            <w:r>
              <w:rPr>
                <w:rFonts w:hint="eastAsia" w:ascii="宋体" w:hAnsi="宋体"/>
                <w:b/>
                <w:color w:val="auto"/>
                <w:kern w:val="0"/>
                <w:szCs w:val="21"/>
                <w:highlight w:val="none"/>
              </w:rPr>
              <w:t>）远程视频系统采用：（由采购人代理机构经办人自行选择填写）</w:t>
            </w:r>
          </w:p>
          <w:p>
            <w:pPr>
              <w:adjustRightInd w:val="0"/>
              <w:spacing w:line="360" w:lineRule="auto"/>
              <w:textAlignment w:val="baseline"/>
              <w:rPr>
                <w:rFonts w:ascii="宋体" w:hAnsi="宋体"/>
                <w:b/>
                <w:color w:val="auto"/>
                <w:kern w:val="0"/>
                <w:szCs w:val="21"/>
                <w:highlight w:val="none"/>
              </w:rPr>
            </w:pPr>
            <w:r>
              <w:rPr>
                <w:rFonts w:ascii="宋体" w:hAnsi="宋体"/>
                <w:b/>
                <w:color w:val="auto"/>
                <w:kern w:val="0"/>
                <w:szCs w:val="21"/>
                <w:highlight w:val="none"/>
              </w:rPr>
              <w:t>5</w:t>
            </w:r>
            <w:r>
              <w:rPr>
                <w:rFonts w:hint="eastAsia" w:ascii="宋体" w:hAnsi="宋体"/>
                <w:b/>
                <w:color w:val="auto"/>
                <w:kern w:val="0"/>
                <w:szCs w:val="21"/>
                <w:highlight w:val="none"/>
              </w:rPr>
              <w:t>）在规定的评标时间到来时，采购代理机构经办人员应按常规评标流程在远程视频系统里逐一检查招标人代表授权委托书、查验评审专家聘书、核实评审专家身份，并宣布评审工作纪律、告知回避要求和评审工作程序、组织评审委员会成员签署承诺书（签署方式：□会后组织单独补签，以原件扫描或快递的方式取得书面材料并归档</w:t>
            </w:r>
            <w:r>
              <w:rPr>
                <w:rFonts w:ascii="宋体" w:hAnsi="宋体"/>
                <w:b/>
                <w:color w:val="auto"/>
                <w:kern w:val="0"/>
                <w:szCs w:val="21"/>
                <w:highlight w:val="none"/>
              </w:rPr>
              <w:t xml:space="preserve">  </w:t>
            </w:r>
            <w:r>
              <w:rPr>
                <w:rFonts w:hint="eastAsia" w:ascii="宋体" w:hAnsi="宋体"/>
                <w:b/>
                <w:color w:val="auto"/>
                <w:kern w:val="0"/>
                <w:szCs w:val="21"/>
                <w:highlight w:val="none"/>
              </w:rPr>
              <w:t>□通过易土</w:t>
            </w:r>
            <w:r>
              <w:rPr>
                <w:rFonts w:ascii="宋体" w:hAnsi="宋体"/>
                <w:b/>
                <w:color w:val="auto"/>
                <w:kern w:val="0"/>
                <w:szCs w:val="21"/>
                <w:highlight w:val="none"/>
              </w:rPr>
              <w:t>365电子招投标平台（www.etu365.com）签署</w:t>
            </w:r>
            <w:r>
              <w:rPr>
                <w:rFonts w:hint="eastAsia" w:ascii="宋体" w:hAnsi="宋体"/>
                <w:b/>
                <w:color w:val="auto"/>
                <w:kern w:val="0"/>
                <w:szCs w:val="21"/>
                <w:highlight w:val="none"/>
              </w:rPr>
              <w:t>）。</w:t>
            </w:r>
          </w:p>
          <w:p>
            <w:pPr>
              <w:adjustRightInd w:val="0"/>
              <w:spacing w:line="360" w:lineRule="auto"/>
              <w:textAlignment w:val="baseline"/>
              <w:rPr>
                <w:rFonts w:ascii="宋体" w:hAnsi="宋体"/>
                <w:b/>
                <w:color w:val="auto"/>
                <w:kern w:val="0"/>
                <w:szCs w:val="21"/>
                <w:highlight w:val="none"/>
              </w:rPr>
            </w:pPr>
            <w:r>
              <w:rPr>
                <w:rFonts w:ascii="宋体" w:hAnsi="宋体"/>
                <w:b/>
                <w:color w:val="auto"/>
                <w:kern w:val="0"/>
                <w:szCs w:val="21"/>
                <w:highlight w:val="none"/>
              </w:rPr>
              <w:t>6</w:t>
            </w:r>
            <w:r>
              <w:rPr>
                <w:rFonts w:hint="eastAsia" w:ascii="宋体" w:hAnsi="宋体"/>
                <w:b/>
                <w:color w:val="auto"/>
                <w:kern w:val="0"/>
                <w:szCs w:val="21"/>
                <w:highlight w:val="none"/>
              </w:rPr>
              <w:t>）各投标人的投标文件电子文档及密码将由采购代理机构经办人员发送至各评委邮箱，评标流程按流程常规进行。</w:t>
            </w:r>
          </w:p>
          <w:p>
            <w:pPr>
              <w:spacing w:line="320" w:lineRule="exact"/>
              <w:rPr>
                <w:rFonts w:ascii="宋体" w:hAnsi="宋体"/>
                <w:color w:val="auto"/>
                <w:szCs w:val="21"/>
                <w:highlight w:val="none"/>
              </w:rPr>
            </w:pPr>
            <w:r>
              <w:rPr>
                <w:rFonts w:ascii="宋体" w:hAnsi="宋体"/>
                <w:b/>
                <w:color w:val="auto"/>
                <w:kern w:val="0"/>
                <w:szCs w:val="21"/>
                <w:highlight w:val="none"/>
              </w:rPr>
              <w:t>7）远程视频评标的全过程由采购代理机构经办人员录音录像。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71" w:type="dxa"/>
            <w:vAlign w:val="center"/>
          </w:tcPr>
          <w:p>
            <w:pPr>
              <w:spacing w:line="320" w:lineRule="exact"/>
              <w:jc w:val="center"/>
              <w:rPr>
                <w:rFonts w:ascii="宋体" w:hAnsi="宋体"/>
                <w:color w:val="auto"/>
                <w:szCs w:val="21"/>
                <w:highlight w:val="none"/>
              </w:rPr>
            </w:pPr>
            <w:r>
              <w:rPr>
                <w:rFonts w:ascii="宋体" w:hAnsi="宋体"/>
                <w:color w:val="auto"/>
                <w:szCs w:val="21"/>
                <w:highlight w:val="none"/>
              </w:rPr>
              <w:t>7.1.</w:t>
            </w:r>
            <w:r>
              <w:rPr>
                <w:rFonts w:hint="eastAsia" w:ascii="宋体" w:hAnsi="宋体"/>
                <w:color w:val="auto"/>
                <w:szCs w:val="21"/>
                <w:highlight w:val="none"/>
              </w:rPr>
              <w:t>1</w:t>
            </w:r>
          </w:p>
        </w:tc>
        <w:tc>
          <w:tcPr>
            <w:tcW w:w="2262" w:type="dxa"/>
            <w:gridSpan w:val="3"/>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是否授权评标委员会确定中标人</w:t>
            </w:r>
          </w:p>
        </w:tc>
        <w:tc>
          <w:tcPr>
            <w:tcW w:w="5939" w:type="dxa"/>
            <w:gridSpan w:val="2"/>
            <w:vAlign w:val="center"/>
          </w:tcPr>
          <w:p>
            <w:pPr>
              <w:spacing w:line="320" w:lineRule="exact"/>
              <w:rPr>
                <w:rFonts w:ascii="宋体" w:hAnsi="宋体"/>
                <w:color w:val="auto"/>
                <w:szCs w:val="21"/>
                <w:highlight w:val="none"/>
                <w:u w:val="single"/>
              </w:rPr>
            </w:pPr>
            <w:r>
              <w:rPr>
                <w:rFonts w:ascii="宋体" w:hAnsi="宋体"/>
                <w:color w:val="auto"/>
                <w:szCs w:val="21"/>
                <w:highlight w:val="none"/>
              </w:rPr>
              <w:t>■</w:t>
            </w:r>
            <w:r>
              <w:rPr>
                <w:rFonts w:hint="eastAsia" w:ascii="宋体" w:hAnsi="宋体"/>
                <w:color w:val="auto"/>
                <w:szCs w:val="21"/>
                <w:highlight w:val="none"/>
              </w:rPr>
              <w:t>否，推荐的中标候选人数量：</w:t>
            </w:r>
            <w:r>
              <w:rPr>
                <w:rFonts w:hint="eastAsia" w:ascii="宋体" w:hAnsi="宋体"/>
                <w:color w:val="auto"/>
                <w:szCs w:val="21"/>
                <w:highlight w:val="none"/>
                <w:u w:val="single"/>
              </w:rPr>
              <w:t xml:space="preserve">2 </w:t>
            </w:r>
          </w:p>
          <w:p>
            <w:pPr>
              <w:spacing w:line="320" w:lineRule="exact"/>
              <w:rPr>
                <w:rFonts w:ascii="宋体" w:hAnsi="宋体"/>
                <w:color w:val="auto"/>
                <w:szCs w:val="21"/>
                <w:highlight w:val="none"/>
              </w:rPr>
            </w:pPr>
            <w:r>
              <w:rPr>
                <w:rFonts w:hint="eastAsia" w:ascii="宋体" w:hAnsi="宋体"/>
                <w:color w:val="auto"/>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71" w:type="dxa"/>
            <w:vAlign w:val="center"/>
          </w:tcPr>
          <w:p>
            <w:pPr>
              <w:spacing w:line="320" w:lineRule="exact"/>
              <w:jc w:val="center"/>
              <w:rPr>
                <w:rFonts w:ascii="宋体" w:hAnsi="宋体"/>
                <w:color w:val="auto"/>
                <w:szCs w:val="21"/>
                <w:highlight w:val="none"/>
              </w:rPr>
            </w:pPr>
            <w:r>
              <w:rPr>
                <w:rFonts w:ascii="宋体" w:hAnsi="宋体"/>
                <w:color w:val="auto"/>
                <w:szCs w:val="21"/>
                <w:highlight w:val="none"/>
              </w:rPr>
              <w:t>7.3.1</w:t>
            </w:r>
          </w:p>
        </w:tc>
        <w:tc>
          <w:tcPr>
            <w:tcW w:w="2262" w:type="dxa"/>
            <w:gridSpan w:val="3"/>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履约担保</w:t>
            </w:r>
          </w:p>
        </w:tc>
        <w:tc>
          <w:tcPr>
            <w:tcW w:w="5939" w:type="dxa"/>
            <w:gridSpan w:val="2"/>
            <w:vAlign w:val="center"/>
          </w:tcPr>
          <w:p>
            <w:pPr>
              <w:spacing w:line="320" w:lineRule="exac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不提供</w:t>
            </w:r>
          </w:p>
          <w:p>
            <w:pPr>
              <w:spacing w:line="320" w:lineRule="exact"/>
              <w:rPr>
                <w:rFonts w:ascii="宋体" w:hAnsi="宋体"/>
                <w:color w:val="auto"/>
                <w:szCs w:val="21"/>
                <w:highlight w:val="none"/>
              </w:rPr>
            </w:pPr>
            <w:r>
              <w:rPr>
                <w:rFonts w:hint="eastAsia" w:ascii="宋体" w:hAnsi="宋体"/>
                <w:color w:val="auto"/>
                <w:szCs w:val="21"/>
                <w:highlight w:val="none"/>
              </w:rPr>
              <w:t>□提供，履约担保的形式：</w:t>
            </w:r>
            <w:r>
              <w:rPr>
                <w:rFonts w:hint="eastAsia" w:ascii="宋体" w:hAnsi="宋体"/>
                <w:color w:val="auto"/>
                <w:szCs w:val="21"/>
                <w:highlight w:val="none"/>
                <w:u w:val="single"/>
              </w:rPr>
              <w:t xml:space="preserve">                 </w:t>
            </w:r>
          </w:p>
          <w:p>
            <w:pPr>
              <w:spacing w:line="320" w:lineRule="exact"/>
              <w:ind w:firstLine="840" w:firstLineChars="400"/>
              <w:rPr>
                <w:rFonts w:ascii="宋体" w:hAnsi="宋体"/>
                <w:color w:val="auto"/>
                <w:szCs w:val="21"/>
                <w:highlight w:val="none"/>
              </w:rPr>
            </w:pPr>
            <w:r>
              <w:rPr>
                <w:rFonts w:hint="eastAsia" w:ascii="宋体" w:hAnsi="宋体"/>
                <w:color w:val="auto"/>
                <w:szCs w:val="21"/>
                <w:highlight w:val="none"/>
              </w:rPr>
              <w:t>履约担保的金额：</w:t>
            </w:r>
            <w:r>
              <w:rPr>
                <w:rFonts w:hint="eastAsia"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71" w:type="dxa"/>
            <w:vAlign w:val="center"/>
          </w:tcPr>
          <w:p>
            <w:pPr>
              <w:spacing w:line="320" w:lineRule="exact"/>
              <w:jc w:val="center"/>
              <w:rPr>
                <w:rFonts w:ascii="宋体" w:hAnsi="宋体"/>
                <w:color w:val="auto"/>
                <w:szCs w:val="21"/>
                <w:highlight w:val="none"/>
              </w:rPr>
            </w:pPr>
            <w:r>
              <w:rPr>
                <w:rFonts w:ascii="宋体" w:hAnsi="宋体"/>
                <w:color w:val="auto"/>
                <w:szCs w:val="21"/>
                <w:highlight w:val="none"/>
              </w:rPr>
              <w:t>7.4.3</w:t>
            </w:r>
          </w:p>
        </w:tc>
        <w:tc>
          <w:tcPr>
            <w:tcW w:w="2262" w:type="dxa"/>
            <w:gridSpan w:val="3"/>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合同形式</w:t>
            </w:r>
          </w:p>
        </w:tc>
        <w:tc>
          <w:tcPr>
            <w:tcW w:w="5939" w:type="dxa"/>
            <w:gridSpan w:val="2"/>
            <w:vAlign w:val="center"/>
          </w:tcPr>
          <w:p>
            <w:pPr>
              <w:spacing w:line="320" w:lineRule="exac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单价合同</w:t>
            </w:r>
          </w:p>
          <w:p>
            <w:pPr>
              <w:spacing w:line="320" w:lineRule="exact"/>
              <w:rPr>
                <w:rFonts w:ascii="宋体" w:hAnsi="宋体"/>
                <w:color w:val="auto"/>
                <w:szCs w:val="21"/>
                <w:highlight w:val="none"/>
              </w:rPr>
            </w:pPr>
            <w:r>
              <w:rPr>
                <w:rFonts w:hint="eastAsia" w:ascii="宋体" w:hAnsi="宋体"/>
                <w:color w:val="auto"/>
                <w:szCs w:val="21"/>
                <w:highlight w:val="none"/>
              </w:rPr>
              <w:t>□总价合同</w:t>
            </w:r>
          </w:p>
          <w:p>
            <w:pPr>
              <w:spacing w:line="320" w:lineRule="exact"/>
              <w:rPr>
                <w:rFonts w:ascii="宋体" w:hAnsi="宋体"/>
                <w:color w:val="auto"/>
                <w:szCs w:val="21"/>
                <w:highlight w:val="none"/>
              </w:rPr>
            </w:pPr>
            <w:r>
              <w:rPr>
                <w:rFonts w:hint="eastAsia" w:ascii="宋体" w:hAnsi="宋体"/>
                <w:color w:val="auto"/>
                <w:szCs w:val="21"/>
                <w:highlight w:val="none"/>
              </w:rPr>
              <w:t>□其他：</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71" w:type="dxa"/>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.5.3</w:t>
            </w:r>
          </w:p>
        </w:tc>
        <w:tc>
          <w:tcPr>
            <w:tcW w:w="2262" w:type="dxa"/>
            <w:gridSpan w:val="3"/>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接收质疑函的联系人及联系方式</w:t>
            </w:r>
          </w:p>
        </w:tc>
        <w:tc>
          <w:tcPr>
            <w:tcW w:w="5939" w:type="dxa"/>
            <w:gridSpan w:val="2"/>
            <w:vAlign w:val="center"/>
          </w:tcPr>
          <w:p>
            <w:pPr>
              <w:spacing w:line="320" w:lineRule="exact"/>
              <w:rPr>
                <w:rFonts w:ascii="宋体" w:hAnsi="宋体"/>
                <w:color w:val="auto"/>
                <w:szCs w:val="21"/>
                <w:highlight w:val="none"/>
              </w:rPr>
            </w:pPr>
            <w:r>
              <w:rPr>
                <w:rFonts w:hint="eastAsia" w:ascii="宋体" w:hAnsi="宋体"/>
                <w:color w:val="auto"/>
                <w:szCs w:val="21"/>
                <w:highlight w:val="none"/>
              </w:rPr>
              <w:t>上海市浦东新区浦明路1229弄5楼，上海百通项目管理咨询有限公司政府采购部，经办人：周俊，联系电话：18918322</w:t>
            </w:r>
            <w:r>
              <w:rPr>
                <w:rFonts w:ascii="宋体" w:hAnsi="宋体"/>
                <w:color w:val="auto"/>
                <w:szCs w:val="21"/>
                <w:highlight w:val="none"/>
              </w:rPr>
              <w:t>071</w:t>
            </w:r>
            <w:r>
              <w:rPr>
                <w:rFonts w:hint="eastAsia" w:ascii="宋体" w:hAnsi="宋体"/>
                <w:color w:val="auto"/>
                <w:szCs w:val="21"/>
                <w:highlight w:val="none"/>
              </w:rPr>
              <w:t>，电子邮箱：</w:t>
            </w:r>
            <w:r>
              <w:rPr>
                <w:rFonts w:ascii="宋体" w:hAnsi="宋体"/>
                <w:color w:val="auto"/>
                <w:szCs w:val="21"/>
                <w:highlight w:val="none"/>
              </w:rPr>
              <w:t>zhoujun@tencentmail.com.cn</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71" w:type="dxa"/>
            <w:vAlign w:val="center"/>
          </w:tcPr>
          <w:p>
            <w:pPr>
              <w:spacing w:line="320" w:lineRule="exact"/>
              <w:jc w:val="center"/>
              <w:rPr>
                <w:rFonts w:ascii="宋体" w:hAnsi="宋体"/>
                <w:color w:val="auto"/>
                <w:szCs w:val="21"/>
                <w:highlight w:val="none"/>
              </w:rPr>
            </w:pPr>
            <w:r>
              <w:rPr>
                <w:rFonts w:ascii="宋体" w:hAnsi="宋体"/>
                <w:color w:val="auto"/>
                <w:szCs w:val="21"/>
                <w:highlight w:val="none"/>
              </w:rPr>
              <w:t>10</w:t>
            </w:r>
          </w:p>
        </w:tc>
        <w:tc>
          <w:tcPr>
            <w:tcW w:w="8201" w:type="dxa"/>
            <w:gridSpan w:val="5"/>
            <w:vAlign w:val="center"/>
          </w:tcPr>
          <w:p>
            <w:pPr>
              <w:spacing w:line="320" w:lineRule="exact"/>
              <w:rPr>
                <w:rFonts w:ascii="宋体" w:hAnsi="宋体"/>
                <w:color w:val="auto"/>
                <w:szCs w:val="21"/>
                <w:highlight w:val="none"/>
              </w:rPr>
            </w:pPr>
            <w:r>
              <w:rPr>
                <w:rFonts w:hint="eastAsia" w:ascii="宋体" w:hAnsi="宋体"/>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71" w:type="dxa"/>
            <w:vAlign w:val="center"/>
          </w:tcPr>
          <w:p>
            <w:pPr>
              <w:spacing w:line="320" w:lineRule="exact"/>
              <w:jc w:val="center"/>
              <w:rPr>
                <w:rFonts w:ascii="宋体" w:hAnsi="宋体"/>
                <w:color w:val="auto"/>
                <w:szCs w:val="21"/>
                <w:highlight w:val="none"/>
              </w:rPr>
            </w:pPr>
            <w:r>
              <w:rPr>
                <w:rFonts w:ascii="宋体" w:hAnsi="宋体"/>
                <w:color w:val="auto"/>
                <w:szCs w:val="21"/>
                <w:highlight w:val="none"/>
              </w:rPr>
              <w:t>10.1</w:t>
            </w:r>
          </w:p>
        </w:tc>
        <w:tc>
          <w:tcPr>
            <w:tcW w:w="2262" w:type="dxa"/>
            <w:gridSpan w:val="3"/>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政策功能</w:t>
            </w:r>
          </w:p>
        </w:tc>
        <w:tc>
          <w:tcPr>
            <w:tcW w:w="5939" w:type="dxa"/>
            <w:gridSpan w:val="2"/>
            <w:vAlign w:val="center"/>
          </w:tcPr>
          <w:p>
            <w:pPr>
              <w:spacing w:line="400" w:lineRule="exact"/>
              <w:ind w:left="64" w:leftChars="18" w:right="63" w:rightChars="30" w:hanging="26"/>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hint="eastAsia" w:ascii="宋体" w:hAnsi="宋体"/>
                <w:b/>
                <w:bCs/>
                <w:color w:val="auto"/>
                <w:szCs w:val="21"/>
                <w:highlight w:val="none"/>
              </w:rPr>
              <w:t>中小企业</w:t>
            </w:r>
            <w:r>
              <w:rPr>
                <w:rFonts w:hint="eastAsia" w:ascii="宋体" w:hAnsi="宋体"/>
                <w:color w:val="auto"/>
                <w:szCs w:val="21"/>
                <w:highlight w:val="none"/>
              </w:rPr>
              <w:t>：</w:t>
            </w:r>
          </w:p>
          <w:p>
            <w:pPr>
              <w:spacing w:line="400" w:lineRule="exact"/>
              <w:ind w:left="64" w:leftChars="18" w:right="63" w:rightChars="30" w:hanging="26"/>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rPr>
              <w:tab/>
            </w:r>
            <w:r>
              <w:rPr>
                <w:rFonts w:hint="eastAsia" w:ascii="宋体" w:hAnsi="宋体"/>
                <w:color w:val="auto"/>
                <w:szCs w:val="21"/>
                <w:highlight w:val="none"/>
              </w:rPr>
              <w:t>中小企业参加本项目采购活动的，应当提供《政府采购促进中小企业发展暂行办法》（财库〔2011〕181号）规定的《中小企业声明函》；</w:t>
            </w:r>
          </w:p>
          <w:p>
            <w:pPr>
              <w:spacing w:line="400" w:lineRule="exact"/>
              <w:ind w:left="64" w:leftChars="18" w:right="63" w:rightChars="30" w:hanging="26"/>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rPr>
              <w:tab/>
            </w:r>
            <w:r>
              <w:rPr>
                <w:rFonts w:hint="eastAsia" w:ascii="宋体" w:hAnsi="宋体"/>
                <w:color w:val="auto"/>
                <w:szCs w:val="21"/>
                <w:highlight w:val="none"/>
              </w:rPr>
              <w:t>对于非专门面向中小企业的项目，对小型和微型企业产品的价格给予6%的扣除，用扣除后的价格参与评审。（投标人若为小型、微型企业，必须按照规定提供真实、完整、准确的《中小企业声明函》，未提供或提供内容不全的，则不享受价格折扣优惠。）</w:t>
            </w:r>
          </w:p>
          <w:p>
            <w:pPr>
              <w:spacing w:line="400" w:lineRule="exact"/>
              <w:ind w:left="64" w:leftChars="18" w:right="63" w:rightChars="30" w:hanging="26"/>
              <w:jc w:val="lef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rPr>
              <w:tab/>
            </w:r>
            <w:r>
              <w:rPr>
                <w:rFonts w:hint="eastAsia" w:ascii="宋体" w:hAnsi="宋体"/>
                <w:color w:val="auto"/>
                <w:szCs w:val="21"/>
                <w:highlight w:val="none"/>
              </w:rPr>
              <w:t>若小（微）企业与其他规模企业组成联合体，联合协议中约定，小型、微型企业的协议合同金额占到联合体协议合同总金额30%以上的，可给予联合体2%的价格扣除。联合体各方均为小型、微型企业的，联合体视同为小型、微型企业享受扶持政策（注：A</w:t>
            </w:r>
            <w:r>
              <w:rPr>
                <w:rFonts w:ascii="宋体" w:hAnsi="宋体"/>
                <w:color w:val="auto"/>
                <w:szCs w:val="21"/>
                <w:highlight w:val="none"/>
              </w:rPr>
              <w:t>.</w:t>
            </w:r>
            <w:r>
              <w:rPr>
                <w:rFonts w:hint="eastAsia" w:ascii="宋体" w:hAnsi="宋体"/>
                <w:color w:val="auto"/>
                <w:szCs w:val="21"/>
                <w:highlight w:val="none"/>
              </w:rPr>
              <w:t>联合协议中未明确小型、微型企业合同金额的，则该联合体不享受价格折扣优惠；B</w:t>
            </w:r>
            <w:r>
              <w:rPr>
                <w:rFonts w:ascii="宋体" w:hAnsi="宋体"/>
                <w:color w:val="auto"/>
                <w:szCs w:val="21"/>
                <w:highlight w:val="none"/>
              </w:rPr>
              <w:t>.</w:t>
            </w:r>
            <w:r>
              <w:rPr>
                <w:rFonts w:hint="eastAsia" w:ascii="宋体" w:hAnsi="宋体"/>
                <w:color w:val="auto"/>
                <w:szCs w:val="21"/>
                <w:highlight w:val="none"/>
              </w:rPr>
              <w:t>组成联合体的大中型企业与小型、微型企业之间不得存在投资关系，否则视为无效投标）。</w:t>
            </w:r>
          </w:p>
          <w:p>
            <w:pPr>
              <w:spacing w:line="400" w:lineRule="exact"/>
              <w:ind w:left="64" w:leftChars="18" w:right="63" w:rightChars="30" w:hanging="26"/>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rPr>
              <w:tab/>
            </w:r>
            <w:r>
              <w:rPr>
                <w:rFonts w:hint="eastAsia" w:ascii="宋体" w:hAnsi="宋体"/>
                <w:color w:val="auto"/>
                <w:szCs w:val="21"/>
                <w:highlight w:val="none"/>
              </w:rPr>
              <w:t>投标人须提供本企业制造的货物、承担的工程或者服务，或者提供其他中小企业制造的货物（不包括使用大型企业注册商标的货物）。小型、微型企业提供中型企业制造的货物的，视同为中型企业。</w:t>
            </w:r>
          </w:p>
          <w:p>
            <w:pPr>
              <w:spacing w:line="400" w:lineRule="exact"/>
              <w:ind w:left="64" w:leftChars="18" w:right="63" w:rightChars="30" w:hanging="26"/>
              <w:jc w:val="left"/>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rPr>
              <w:tab/>
            </w:r>
            <w:r>
              <w:rPr>
                <w:rFonts w:hint="eastAsia" w:ascii="宋体" w:hAnsi="宋体"/>
                <w:color w:val="auto"/>
                <w:szCs w:val="21"/>
                <w:highlight w:val="none"/>
              </w:rPr>
              <w:t>政府采购监督检查和投诉处理中对中小企业的认定，由企业所在地的县级以上中小企业主管部门负责。</w:t>
            </w:r>
          </w:p>
          <w:p>
            <w:pPr>
              <w:spacing w:line="400" w:lineRule="exact"/>
              <w:ind w:left="64" w:leftChars="18" w:right="63" w:rightChars="30" w:hanging="26"/>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rPr>
              <w:tab/>
            </w:r>
            <w:r>
              <w:rPr>
                <w:rFonts w:hint="eastAsia" w:ascii="宋体" w:hAnsi="宋体"/>
                <w:color w:val="auto"/>
                <w:szCs w:val="21"/>
                <w:highlight w:val="none"/>
              </w:rPr>
              <w:t>事业单位、团体组织等非企业性质的政府采购供应商，不适用《政府采购促进中小企业发展暂行办法》。</w:t>
            </w:r>
          </w:p>
          <w:p>
            <w:pPr>
              <w:spacing w:line="400" w:lineRule="exact"/>
              <w:ind w:left="64" w:leftChars="18" w:right="63" w:rightChars="30" w:hanging="26"/>
              <w:jc w:val="left"/>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rPr>
              <w:tab/>
            </w:r>
            <w:r>
              <w:rPr>
                <w:rFonts w:hint="eastAsia" w:ascii="宋体" w:hAnsi="宋体"/>
                <w:color w:val="auto"/>
                <w:szCs w:val="21"/>
                <w:highlight w:val="none"/>
              </w:rPr>
              <w:t>监狱企业视同小型、微型企业，享受评审中价格扣除等促进中小企业发展的政府采购政策。</w:t>
            </w:r>
          </w:p>
          <w:p>
            <w:pPr>
              <w:spacing w:line="400" w:lineRule="exact"/>
              <w:ind w:left="64" w:leftChars="18" w:right="63" w:rightChars="30" w:hanging="26"/>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hint="eastAsia" w:ascii="宋体" w:hAnsi="宋体"/>
                <w:b/>
                <w:color w:val="auto"/>
                <w:szCs w:val="21"/>
                <w:highlight w:val="none"/>
              </w:rPr>
              <w:t>优先采购</w:t>
            </w:r>
            <w:r>
              <w:rPr>
                <w:rFonts w:ascii="宋体" w:hAnsi="宋体"/>
                <w:b/>
                <w:color w:val="auto"/>
                <w:szCs w:val="21"/>
                <w:highlight w:val="none"/>
              </w:rPr>
              <w:t>节能</w:t>
            </w:r>
            <w:r>
              <w:rPr>
                <w:rFonts w:hint="eastAsia" w:ascii="宋体" w:hAnsi="宋体"/>
                <w:b/>
                <w:color w:val="auto"/>
                <w:szCs w:val="21"/>
                <w:highlight w:val="none"/>
              </w:rPr>
              <w:t>环保产品</w:t>
            </w:r>
            <w:r>
              <w:rPr>
                <w:rFonts w:ascii="宋体" w:hAnsi="宋体"/>
                <w:b/>
                <w:color w:val="auto"/>
                <w:szCs w:val="21"/>
                <w:highlight w:val="none"/>
              </w:rPr>
              <w:t>政策</w:t>
            </w:r>
            <w:r>
              <w:rPr>
                <w:rFonts w:hint="eastAsia" w:ascii="宋体" w:hAnsi="宋体"/>
                <w:color w:val="auto"/>
                <w:szCs w:val="21"/>
                <w:highlight w:val="none"/>
              </w:rPr>
              <w:t>：</w:t>
            </w:r>
            <w:r>
              <w:rPr>
                <w:rFonts w:ascii="宋体" w:hAnsi="宋体"/>
                <w:color w:val="auto"/>
                <w:szCs w:val="21"/>
                <w:highlight w:val="none"/>
              </w:rPr>
              <w:t>在技术、服务等指标同等条件下，</w:t>
            </w:r>
            <w:r>
              <w:rPr>
                <w:rFonts w:hint="eastAsia" w:ascii="宋体" w:hAnsi="宋体"/>
                <w:color w:val="auto"/>
                <w:szCs w:val="21"/>
                <w:highlight w:val="none"/>
              </w:rPr>
              <w:t>对财政部财库〔2019〕18号和财政部财库〔2019〕1</w:t>
            </w:r>
            <w:r>
              <w:rPr>
                <w:rFonts w:ascii="宋体" w:hAnsi="宋体"/>
                <w:color w:val="auto"/>
                <w:szCs w:val="21"/>
                <w:highlight w:val="none"/>
              </w:rPr>
              <w:t>9</w:t>
            </w:r>
            <w:r>
              <w:rPr>
                <w:rFonts w:hint="eastAsia" w:ascii="宋体" w:hAnsi="宋体"/>
                <w:color w:val="auto"/>
                <w:szCs w:val="21"/>
                <w:highlight w:val="none"/>
              </w:rPr>
              <w:t>号文</w:t>
            </w:r>
            <w:r>
              <w:rPr>
                <w:rFonts w:ascii="宋体" w:hAnsi="宋体"/>
                <w:color w:val="auto"/>
                <w:szCs w:val="21"/>
                <w:highlight w:val="none"/>
              </w:rPr>
              <w:t>公布的节能</w:t>
            </w:r>
            <w:r>
              <w:rPr>
                <w:rFonts w:hint="eastAsia" w:ascii="宋体" w:hAnsi="宋体"/>
                <w:color w:val="auto"/>
                <w:szCs w:val="21"/>
                <w:highlight w:val="none"/>
              </w:rPr>
              <w:t>环保产品品目</w:t>
            </w:r>
            <w:r>
              <w:rPr>
                <w:rFonts w:ascii="宋体" w:hAnsi="宋体"/>
                <w:color w:val="auto"/>
                <w:szCs w:val="21"/>
                <w:highlight w:val="none"/>
              </w:rPr>
              <w:t>清单中</w:t>
            </w:r>
            <w:r>
              <w:rPr>
                <w:rFonts w:hint="eastAsia" w:ascii="宋体" w:hAnsi="宋体"/>
                <w:color w:val="auto"/>
                <w:szCs w:val="21"/>
                <w:highlight w:val="none"/>
              </w:rPr>
              <w:t>的</w:t>
            </w:r>
            <w:r>
              <w:rPr>
                <w:rFonts w:ascii="宋体" w:hAnsi="宋体"/>
                <w:color w:val="auto"/>
                <w:szCs w:val="21"/>
                <w:highlight w:val="none"/>
              </w:rPr>
              <w:t>产品</w:t>
            </w:r>
            <w:r>
              <w:rPr>
                <w:rFonts w:hint="eastAsia" w:ascii="宋体" w:hAnsi="宋体"/>
                <w:color w:val="auto"/>
                <w:szCs w:val="21"/>
                <w:highlight w:val="none"/>
              </w:rPr>
              <w:t>实行优先采购；对节能产品品目清单</w:t>
            </w:r>
            <w:r>
              <w:rPr>
                <w:rFonts w:ascii="宋体" w:hAnsi="宋体"/>
                <w:color w:val="auto"/>
                <w:szCs w:val="21"/>
                <w:highlight w:val="none"/>
              </w:rPr>
              <w:t>中以“★”标注</w:t>
            </w:r>
            <w:r>
              <w:rPr>
                <w:rFonts w:hint="eastAsia" w:ascii="宋体" w:hAnsi="宋体"/>
                <w:color w:val="auto"/>
                <w:szCs w:val="21"/>
                <w:highlight w:val="none"/>
              </w:rPr>
              <w:t>的产品，实行强制采购。投标人须提供具有国家确定的认证机构出具的、处于有效期之内的认证证书方能享受优先采购或强制采购政策</w:t>
            </w:r>
            <w:r>
              <w:rPr>
                <w:rFonts w:ascii="宋体" w:hAnsi="宋体"/>
                <w:color w:val="auto"/>
                <w:szCs w:val="21"/>
                <w:highlight w:val="none"/>
              </w:rPr>
              <w:t>。</w:t>
            </w:r>
          </w:p>
          <w:p>
            <w:pPr>
              <w:spacing w:line="320" w:lineRule="exac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hint="eastAsia" w:ascii="宋体" w:hAnsi="宋体"/>
                <w:b/>
                <w:bCs/>
                <w:color w:val="auto"/>
                <w:szCs w:val="21"/>
                <w:highlight w:val="none"/>
              </w:rPr>
              <w:t>强制性产品认证管理规定：</w:t>
            </w:r>
            <w:r>
              <w:rPr>
                <w:rFonts w:hint="eastAsia" w:ascii="宋体" w:hAnsi="宋体"/>
                <w:color w:val="auto"/>
                <w:szCs w:val="21"/>
                <w:highlight w:val="none"/>
              </w:rPr>
              <w:t>根据市场监管总局、国家认监委最新公告及通知（中国国家认证认可监督管理委员会官网http://www.cnca.gov.cn），若采购产品为《强制性产品认证管理规定》目录内的产品，投标人应承诺提供具有强制性产品认证证书的产品，且若中标，供货时须附上3C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71" w:type="dxa"/>
            <w:vAlign w:val="center"/>
          </w:tcPr>
          <w:p>
            <w:pPr>
              <w:spacing w:line="320" w:lineRule="exact"/>
              <w:jc w:val="center"/>
              <w:rPr>
                <w:rFonts w:ascii="宋体" w:hAnsi="宋体"/>
                <w:color w:val="auto"/>
                <w:szCs w:val="21"/>
                <w:highlight w:val="none"/>
              </w:rPr>
            </w:pPr>
            <w:r>
              <w:rPr>
                <w:rFonts w:ascii="宋体" w:hAnsi="宋体"/>
                <w:color w:val="auto"/>
                <w:szCs w:val="21"/>
                <w:highlight w:val="none"/>
              </w:rPr>
              <w:t>10.2</w:t>
            </w:r>
          </w:p>
        </w:tc>
        <w:tc>
          <w:tcPr>
            <w:tcW w:w="2262" w:type="dxa"/>
            <w:gridSpan w:val="3"/>
            <w:vAlign w:val="center"/>
          </w:tcPr>
          <w:p>
            <w:pPr>
              <w:spacing w:line="320" w:lineRule="exact"/>
              <w:jc w:val="center"/>
              <w:rPr>
                <w:rFonts w:ascii="宋体" w:hAnsi="宋体"/>
                <w:color w:val="auto"/>
                <w:szCs w:val="21"/>
                <w:highlight w:val="none"/>
              </w:rPr>
            </w:pPr>
            <w:r>
              <w:rPr>
                <w:rFonts w:hint="eastAsia" w:ascii="宋体" w:hAnsi="宋体"/>
                <w:b/>
                <w:color w:val="auto"/>
                <w:szCs w:val="21"/>
                <w:highlight w:val="none"/>
              </w:rPr>
              <w:t>政府采购法二十二条要求</w:t>
            </w:r>
          </w:p>
        </w:tc>
        <w:tc>
          <w:tcPr>
            <w:tcW w:w="5939" w:type="dxa"/>
            <w:gridSpan w:val="2"/>
            <w:vAlign w:val="center"/>
          </w:tcPr>
          <w:p>
            <w:pPr>
              <w:tabs>
                <w:tab w:val="left" w:pos="1027"/>
              </w:tabs>
              <w:adjustRightInd w:val="0"/>
              <w:spacing w:line="360" w:lineRule="auto"/>
              <w:textAlignment w:val="baseline"/>
              <w:rPr>
                <w:rFonts w:ascii="宋体" w:hAnsi="宋体"/>
                <w:b/>
                <w:color w:val="auto"/>
                <w:kern w:val="0"/>
                <w:szCs w:val="21"/>
                <w:highlight w:val="none"/>
              </w:rPr>
            </w:pPr>
            <w:r>
              <w:rPr>
                <w:rFonts w:ascii="宋体" w:hAnsi="宋体"/>
                <w:b/>
                <w:color w:val="auto"/>
                <w:kern w:val="0"/>
                <w:szCs w:val="21"/>
                <w:highlight w:val="none"/>
              </w:rPr>
              <w:t>投标人应提供下列材料</w:t>
            </w:r>
            <w:r>
              <w:rPr>
                <w:rFonts w:hint="eastAsia" w:ascii="宋体" w:hAnsi="宋体"/>
                <w:b/>
                <w:color w:val="auto"/>
                <w:kern w:val="0"/>
                <w:szCs w:val="21"/>
                <w:highlight w:val="none"/>
              </w:rPr>
              <w:t>，以证明其</w:t>
            </w:r>
            <w:r>
              <w:rPr>
                <w:rFonts w:ascii="宋体" w:hAnsi="宋体"/>
                <w:b/>
                <w:color w:val="auto"/>
                <w:kern w:val="0"/>
                <w:szCs w:val="21"/>
                <w:highlight w:val="none"/>
              </w:rPr>
              <w:t>具备政府采购法第二十二条第一款规定的条件：</w:t>
            </w:r>
            <w:r>
              <w:rPr>
                <w:rFonts w:hint="eastAsia" w:ascii="宋体" w:hAnsi="宋体"/>
                <w:b/>
                <w:color w:val="auto"/>
                <w:kern w:val="0"/>
                <w:szCs w:val="21"/>
                <w:highlight w:val="none"/>
              </w:rPr>
              <w:t xml:space="preserve"> </w:t>
            </w:r>
          </w:p>
          <w:p>
            <w:pPr>
              <w:adjustRightInd w:val="0"/>
              <w:spacing w:line="360" w:lineRule="auto"/>
              <w:textAlignment w:val="baseline"/>
              <w:rPr>
                <w:rFonts w:ascii="宋体" w:hAnsi="宋体"/>
                <w:b/>
                <w:color w:val="auto"/>
                <w:kern w:val="0"/>
                <w:szCs w:val="21"/>
                <w:highlight w:val="none"/>
              </w:rPr>
            </w:pPr>
            <w:r>
              <w:rPr>
                <w:rFonts w:hint="eastAsia" w:ascii="宋体" w:hAnsi="宋体"/>
                <w:b/>
                <w:color w:val="auto"/>
                <w:kern w:val="0"/>
                <w:szCs w:val="21"/>
                <w:highlight w:val="none"/>
              </w:rPr>
              <w:t>（一）</w:t>
            </w:r>
            <w:r>
              <w:rPr>
                <w:rFonts w:ascii="宋体" w:hAnsi="宋体"/>
                <w:b/>
                <w:color w:val="auto"/>
                <w:kern w:val="0"/>
                <w:szCs w:val="21"/>
                <w:highlight w:val="none"/>
              </w:rPr>
              <w:t>法人或者其他组织的营业执照等证明文件：</w:t>
            </w:r>
          </w:p>
          <w:p>
            <w:pPr>
              <w:tabs>
                <w:tab w:val="left" w:pos="743"/>
              </w:tabs>
              <w:adjustRightInd w:val="0"/>
              <w:spacing w:line="360" w:lineRule="auto"/>
              <w:textAlignment w:val="baseline"/>
              <w:rPr>
                <w:rFonts w:ascii="宋体" w:hAnsi="宋体"/>
                <w:color w:val="auto"/>
                <w:kern w:val="0"/>
                <w:szCs w:val="21"/>
                <w:highlight w:val="none"/>
              </w:rPr>
            </w:pPr>
            <w:r>
              <w:rPr>
                <w:rFonts w:ascii="宋体" w:hAnsi="宋体"/>
                <w:color w:val="auto"/>
                <w:kern w:val="0"/>
                <w:szCs w:val="21"/>
                <w:highlight w:val="none"/>
              </w:rPr>
              <w:t>1.提供企业营业执照或事业单位法人证书；</w:t>
            </w:r>
          </w:p>
          <w:p>
            <w:pPr>
              <w:tabs>
                <w:tab w:val="left" w:pos="743"/>
              </w:tabs>
              <w:adjustRightInd w:val="0"/>
              <w:spacing w:line="360" w:lineRule="auto"/>
              <w:textAlignment w:val="baseline"/>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法定代表人/单位负责人直接参与投标的应提供法定代表人/单位负责人证明书及身份证；委托授权人参与投标的应提供法定代表人/单位负责人授权委托书及被授权人身份证</w:t>
            </w:r>
            <w:r>
              <w:rPr>
                <w:rFonts w:ascii="宋体" w:hAnsi="宋体"/>
                <w:color w:val="auto"/>
                <w:kern w:val="0"/>
                <w:szCs w:val="21"/>
                <w:highlight w:val="none"/>
              </w:rPr>
              <w:t>。</w:t>
            </w:r>
          </w:p>
          <w:p>
            <w:pPr>
              <w:adjustRightInd w:val="0"/>
              <w:spacing w:line="360" w:lineRule="auto"/>
              <w:textAlignment w:val="baseline"/>
              <w:rPr>
                <w:rFonts w:ascii="宋体" w:hAnsi="宋体"/>
                <w:b/>
                <w:color w:val="auto"/>
                <w:kern w:val="0"/>
                <w:szCs w:val="21"/>
                <w:highlight w:val="none"/>
              </w:rPr>
            </w:pPr>
            <w:r>
              <w:rPr>
                <w:rFonts w:hint="eastAsia" w:ascii="宋体" w:hAnsi="宋体"/>
                <w:b/>
                <w:color w:val="auto"/>
                <w:kern w:val="0"/>
                <w:szCs w:val="21"/>
                <w:highlight w:val="none"/>
              </w:rPr>
              <w:t>（二）</w:t>
            </w:r>
            <w:r>
              <w:rPr>
                <w:rFonts w:ascii="宋体" w:hAnsi="宋体"/>
                <w:b/>
                <w:color w:val="auto"/>
                <w:kern w:val="0"/>
                <w:szCs w:val="21"/>
                <w:highlight w:val="none"/>
              </w:rPr>
              <w:t>财务状况报告，依法缴纳税收和社会保障资金的相关材料：</w:t>
            </w:r>
          </w:p>
          <w:p>
            <w:pPr>
              <w:tabs>
                <w:tab w:val="left" w:pos="743"/>
              </w:tabs>
              <w:adjustRightInd w:val="0"/>
              <w:spacing w:line="360" w:lineRule="auto"/>
              <w:textAlignment w:val="baseline"/>
              <w:rPr>
                <w:rFonts w:ascii="宋体" w:hAnsi="宋体"/>
                <w:color w:val="auto"/>
                <w:kern w:val="0"/>
                <w:szCs w:val="21"/>
                <w:highlight w:val="none"/>
              </w:rPr>
            </w:pPr>
            <w:r>
              <w:rPr>
                <w:rFonts w:ascii="宋体" w:hAnsi="宋体"/>
                <w:color w:val="auto"/>
                <w:kern w:val="0"/>
                <w:szCs w:val="21"/>
                <w:highlight w:val="none"/>
              </w:rPr>
              <w:t>1.提供</w:t>
            </w:r>
            <w:r>
              <w:rPr>
                <w:rFonts w:hint="eastAsia" w:ascii="宋体" w:hAnsi="宋体"/>
                <w:color w:val="auto"/>
                <w:kern w:val="0"/>
                <w:szCs w:val="21"/>
                <w:highlight w:val="none"/>
              </w:rPr>
              <w:t>投标人</w:t>
            </w:r>
            <w:r>
              <w:rPr>
                <w:rFonts w:ascii="宋体" w:hAnsi="宋体"/>
                <w:color w:val="auto"/>
                <w:kern w:val="0"/>
                <w:szCs w:val="21"/>
                <w:highlight w:val="none"/>
              </w:rPr>
              <w:t>上</w:t>
            </w:r>
            <w:r>
              <w:rPr>
                <w:rFonts w:hint="eastAsia" w:ascii="宋体" w:hAnsi="宋体"/>
                <w:color w:val="auto"/>
                <w:kern w:val="0"/>
                <w:szCs w:val="21"/>
                <w:highlight w:val="none"/>
              </w:rPr>
              <w:t>一</w:t>
            </w:r>
            <w:r>
              <w:rPr>
                <w:rFonts w:ascii="宋体" w:hAnsi="宋体"/>
                <w:color w:val="auto"/>
                <w:kern w:val="0"/>
                <w:szCs w:val="21"/>
                <w:highlight w:val="none"/>
              </w:rPr>
              <w:t>年度财务报告</w:t>
            </w:r>
            <w:r>
              <w:rPr>
                <w:rFonts w:hint="eastAsia" w:ascii="宋体" w:hAnsi="宋体"/>
                <w:color w:val="auto"/>
                <w:kern w:val="0"/>
                <w:highlight w:val="none"/>
              </w:rPr>
              <w:t>（至少包括资产负债表、利润表和现金流量表）</w:t>
            </w:r>
            <w:r>
              <w:rPr>
                <w:rFonts w:ascii="宋体" w:hAnsi="宋体"/>
                <w:color w:val="auto"/>
                <w:kern w:val="0"/>
                <w:szCs w:val="21"/>
                <w:highlight w:val="none"/>
              </w:rPr>
              <w:t>或开户银行在</w:t>
            </w:r>
            <w:r>
              <w:rPr>
                <w:rFonts w:hint="eastAsia" w:ascii="宋体" w:hAnsi="宋体"/>
                <w:color w:val="auto"/>
                <w:kern w:val="0"/>
                <w:szCs w:val="21"/>
                <w:highlight w:val="none"/>
              </w:rPr>
              <w:t>投标截止</w:t>
            </w:r>
            <w:r>
              <w:rPr>
                <w:rFonts w:ascii="宋体" w:hAnsi="宋体"/>
                <w:color w:val="auto"/>
                <w:kern w:val="0"/>
                <w:szCs w:val="21"/>
                <w:highlight w:val="none"/>
              </w:rPr>
              <w:t>日前12个月之内出具的资信证明；</w:t>
            </w:r>
          </w:p>
          <w:p>
            <w:pPr>
              <w:tabs>
                <w:tab w:val="left" w:pos="743"/>
              </w:tabs>
              <w:adjustRightInd w:val="0"/>
              <w:spacing w:line="360" w:lineRule="auto"/>
              <w:textAlignment w:val="baseline"/>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具有依法缴纳税收和社会保障金的良好记录：①提供投标</w:t>
            </w:r>
            <w:r>
              <w:rPr>
                <w:rFonts w:ascii="宋体" w:hAnsi="宋体"/>
                <w:color w:val="auto"/>
                <w:kern w:val="0"/>
                <w:szCs w:val="21"/>
                <w:highlight w:val="none"/>
              </w:rPr>
              <w:t>截止日</w:t>
            </w:r>
            <w:r>
              <w:rPr>
                <w:rFonts w:hint="eastAsia" w:ascii="宋体" w:hAnsi="宋体"/>
                <w:color w:val="auto"/>
                <w:kern w:val="0"/>
                <w:szCs w:val="21"/>
                <w:highlight w:val="none"/>
              </w:rPr>
              <w:t>前</w:t>
            </w:r>
            <w:r>
              <w:rPr>
                <w:rFonts w:ascii="宋体" w:hAnsi="宋体"/>
                <w:color w:val="auto"/>
                <w:kern w:val="0"/>
                <w:szCs w:val="21"/>
                <w:highlight w:val="none"/>
              </w:rPr>
              <w:t>12</w:t>
            </w:r>
            <w:r>
              <w:rPr>
                <w:rFonts w:hint="eastAsia" w:ascii="宋体" w:hAnsi="宋体"/>
                <w:color w:val="auto"/>
                <w:kern w:val="0"/>
                <w:szCs w:val="21"/>
                <w:highlight w:val="none"/>
              </w:rPr>
              <w:t>个月内任意一期</w:t>
            </w:r>
            <w:r>
              <w:rPr>
                <w:color w:val="auto"/>
                <w:kern w:val="0"/>
                <w:szCs w:val="21"/>
                <w:highlight w:val="none"/>
              </w:rPr>
              <w:t>电子</w:t>
            </w:r>
            <w:r>
              <w:rPr>
                <w:rFonts w:hint="eastAsia"/>
                <w:color w:val="auto"/>
                <w:kern w:val="0"/>
                <w:szCs w:val="21"/>
                <w:highlight w:val="none"/>
              </w:rPr>
              <w:t>缴款凭证</w:t>
            </w:r>
            <w:r>
              <w:rPr>
                <w:color w:val="auto"/>
                <w:kern w:val="0"/>
                <w:szCs w:val="21"/>
                <w:highlight w:val="none"/>
              </w:rPr>
              <w:t>或</w:t>
            </w:r>
            <w:r>
              <w:rPr>
                <w:rFonts w:hint="eastAsia"/>
                <w:color w:val="auto"/>
                <w:kern w:val="0"/>
                <w:szCs w:val="21"/>
                <w:highlight w:val="none"/>
              </w:rPr>
              <w:t>投标人</w:t>
            </w:r>
            <w:r>
              <w:rPr>
                <w:color w:val="auto"/>
                <w:kern w:val="0"/>
                <w:szCs w:val="21"/>
                <w:highlight w:val="none"/>
              </w:rPr>
              <w:t>所在</w:t>
            </w:r>
            <w:r>
              <w:rPr>
                <w:rFonts w:hint="eastAsia"/>
                <w:color w:val="auto"/>
                <w:kern w:val="0"/>
                <w:szCs w:val="21"/>
                <w:highlight w:val="none"/>
              </w:rPr>
              <w:t>地区</w:t>
            </w:r>
            <w:r>
              <w:rPr>
                <w:color w:val="auto"/>
                <w:kern w:val="0"/>
                <w:szCs w:val="21"/>
                <w:highlight w:val="none"/>
              </w:rPr>
              <w:t>税务</w:t>
            </w:r>
            <w:r>
              <w:rPr>
                <w:rFonts w:hint="eastAsia"/>
                <w:color w:val="auto"/>
                <w:kern w:val="0"/>
                <w:szCs w:val="21"/>
                <w:highlight w:val="none"/>
              </w:rPr>
              <w:t>部门</w:t>
            </w:r>
            <w:r>
              <w:rPr>
                <w:color w:val="auto"/>
                <w:kern w:val="0"/>
                <w:szCs w:val="21"/>
                <w:highlight w:val="none"/>
              </w:rPr>
              <w:t>出具的纳税证明</w:t>
            </w:r>
            <w:r>
              <w:rPr>
                <w:rFonts w:hint="eastAsia" w:ascii="宋体" w:hAnsi="宋体"/>
                <w:color w:val="auto"/>
                <w:kern w:val="0"/>
                <w:szCs w:val="21"/>
                <w:highlight w:val="none"/>
              </w:rPr>
              <w:t>。②提供投标</w:t>
            </w:r>
            <w:r>
              <w:rPr>
                <w:rFonts w:ascii="宋体" w:hAnsi="宋体"/>
                <w:color w:val="auto"/>
                <w:kern w:val="0"/>
                <w:szCs w:val="21"/>
                <w:highlight w:val="none"/>
              </w:rPr>
              <w:t>截止日</w:t>
            </w:r>
            <w:r>
              <w:rPr>
                <w:rFonts w:hint="eastAsia" w:ascii="宋体" w:hAnsi="宋体"/>
                <w:color w:val="auto"/>
                <w:kern w:val="0"/>
                <w:szCs w:val="21"/>
                <w:highlight w:val="none"/>
              </w:rPr>
              <w:t>前</w:t>
            </w:r>
            <w:r>
              <w:rPr>
                <w:rFonts w:ascii="宋体" w:hAnsi="宋体"/>
                <w:color w:val="auto"/>
                <w:kern w:val="0"/>
                <w:szCs w:val="21"/>
                <w:highlight w:val="none"/>
              </w:rPr>
              <w:t>12</w:t>
            </w:r>
            <w:r>
              <w:rPr>
                <w:rFonts w:hint="eastAsia" w:ascii="宋体" w:hAnsi="宋体"/>
                <w:color w:val="auto"/>
                <w:kern w:val="0"/>
                <w:szCs w:val="21"/>
                <w:highlight w:val="none"/>
              </w:rPr>
              <w:t>个月内任意一期社会保障金缴纳凭据。社会保障金缴纳凭据是指社保机构出具的基本养老保险对账单、专用收据或加盖社保机构公章的单位缴费明细（社会保险缴纳清单），或企业缴费凭证（社会保险缴费发票或银行转账凭证等证明）。③未提供缴纳凭证，只提供缴款通知书的视为无效投标。④</w:t>
            </w:r>
            <w:r>
              <w:rPr>
                <w:rFonts w:ascii="宋体" w:hAnsi="宋体"/>
                <w:color w:val="auto"/>
                <w:kern w:val="0"/>
                <w:szCs w:val="21"/>
                <w:highlight w:val="none"/>
              </w:rPr>
              <w:t>依法免税或不需要缴纳社保金的投标人</w:t>
            </w:r>
            <w:r>
              <w:rPr>
                <w:rFonts w:hint="eastAsia" w:ascii="宋体" w:hAnsi="宋体"/>
                <w:color w:val="auto"/>
                <w:kern w:val="0"/>
                <w:szCs w:val="21"/>
                <w:highlight w:val="none"/>
              </w:rPr>
              <w:t>，</w:t>
            </w:r>
            <w:r>
              <w:rPr>
                <w:rFonts w:ascii="宋体" w:hAnsi="宋体"/>
                <w:color w:val="auto"/>
                <w:kern w:val="0"/>
                <w:szCs w:val="21"/>
                <w:highlight w:val="none"/>
              </w:rPr>
              <w:t>应提供相应证明文件</w:t>
            </w:r>
            <w:r>
              <w:rPr>
                <w:rFonts w:hint="eastAsia" w:ascii="宋体" w:hAnsi="宋体"/>
                <w:color w:val="auto"/>
                <w:kern w:val="0"/>
                <w:szCs w:val="21"/>
                <w:highlight w:val="none"/>
              </w:rPr>
              <w:t>或资料。</w:t>
            </w:r>
          </w:p>
          <w:p>
            <w:pPr>
              <w:adjustRightInd w:val="0"/>
              <w:spacing w:line="360" w:lineRule="auto"/>
              <w:textAlignment w:val="baseline"/>
              <w:rPr>
                <w:rFonts w:ascii="宋体" w:hAnsi="宋体"/>
                <w:b/>
                <w:color w:val="auto"/>
                <w:kern w:val="0"/>
                <w:szCs w:val="21"/>
                <w:highlight w:val="none"/>
              </w:rPr>
            </w:pPr>
            <w:r>
              <w:rPr>
                <w:rFonts w:hint="eastAsia" w:ascii="宋体" w:hAnsi="宋体"/>
                <w:b/>
                <w:color w:val="auto"/>
                <w:kern w:val="0"/>
                <w:szCs w:val="21"/>
                <w:highlight w:val="none"/>
              </w:rPr>
              <w:t>（三）</w:t>
            </w:r>
            <w:r>
              <w:rPr>
                <w:rFonts w:ascii="宋体" w:hAnsi="宋体"/>
                <w:b/>
                <w:color w:val="auto"/>
                <w:kern w:val="0"/>
                <w:szCs w:val="21"/>
                <w:highlight w:val="none"/>
              </w:rPr>
              <w:t>具备履行合同所必需的设备和专业技术能力的证明材料；</w:t>
            </w:r>
          </w:p>
          <w:p>
            <w:pPr>
              <w:adjustRightInd w:val="0"/>
              <w:spacing w:line="360" w:lineRule="auto"/>
              <w:textAlignment w:val="baseline"/>
              <w:rPr>
                <w:rFonts w:ascii="宋体" w:hAnsi="宋体"/>
                <w:b/>
                <w:color w:val="auto"/>
                <w:kern w:val="0"/>
                <w:szCs w:val="21"/>
                <w:highlight w:val="none"/>
              </w:rPr>
            </w:pPr>
            <w:r>
              <w:rPr>
                <w:rFonts w:hint="eastAsia" w:ascii="宋体" w:hAnsi="宋体"/>
                <w:b/>
                <w:color w:val="auto"/>
                <w:kern w:val="0"/>
                <w:szCs w:val="21"/>
                <w:highlight w:val="none"/>
              </w:rPr>
              <w:t>（四）</w:t>
            </w:r>
            <w:r>
              <w:rPr>
                <w:rFonts w:ascii="宋体" w:hAnsi="宋体"/>
                <w:b/>
                <w:color w:val="auto"/>
                <w:kern w:val="0"/>
                <w:szCs w:val="21"/>
                <w:highlight w:val="none"/>
              </w:rPr>
              <w:t>参加政府采购活动前3年内在经营活动中没有重大违法记录的书面声明</w:t>
            </w:r>
            <w:r>
              <w:rPr>
                <w:rFonts w:hint="eastAsia" w:ascii="宋体" w:hAnsi="宋体"/>
                <w:b/>
                <w:color w:val="auto"/>
                <w:kern w:val="0"/>
                <w:szCs w:val="21"/>
                <w:highlight w:val="none"/>
              </w:rPr>
              <w:t>（说明：投标</w:t>
            </w:r>
            <w:r>
              <w:rPr>
                <w:rFonts w:ascii="宋体" w:hAnsi="宋体"/>
                <w:b/>
                <w:color w:val="auto"/>
                <w:kern w:val="0"/>
                <w:szCs w:val="21"/>
                <w:highlight w:val="none"/>
              </w:rPr>
              <w:t>截止日</w:t>
            </w:r>
            <w:r>
              <w:rPr>
                <w:rFonts w:hint="eastAsia" w:ascii="宋体" w:hAnsi="宋体"/>
                <w:b/>
                <w:color w:val="auto"/>
                <w:kern w:val="0"/>
                <w:szCs w:val="21"/>
                <w:highlight w:val="none"/>
              </w:rPr>
              <w:t>前3年内投标人的信用记录若存在受到罚款的行政处罚且未显示具体数额时，应提供行政处罚决定书或书面说明其罚款数额）</w:t>
            </w:r>
            <w:r>
              <w:rPr>
                <w:rFonts w:ascii="宋体" w:hAnsi="宋体"/>
                <w:b/>
                <w:color w:val="auto"/>
                <w:kern w:val="0"/>
                <w:szCs w:val="21"/>
                <w:highlight w:val="none"/>
              </w:rPr>
              <w:t>；</w:t>
            </w:r>
          </w:p>
          <w:p>
            <w:pPr>
              <w:adjustRightInd w:val="0"/>
              <w:spacing w:line="360" w:lineRule="auto"/>
              <w:textAlignment w:val="baseline"/>
              <w:rPr>
                <w:rFonts w:ascii="宋体" w:hAnsi="宋体"/>
                <w:b/>
                <w:color w:val="auto"/>
                <w:kern w:val="0"/>
                <w:szCs w:val="21"/>
                <w:highlight w:val="none"/>
              </w:rPr>
            </w:pPr>
            <w:r>
              <w:rPr>
                <w:rFonts w:hint="eastAsia" w:ascii="宋体" w:hAnsi="宋体"/>
                <w:b/>
                <w:color w:val="auto"/>
                <w:kern w:val="0"/>
                <w:szCs w:val="21"/>
                <w:highlight w:val="none"/>
              </w:rPr>
              <w:t>（五）</w:t>
            </w:r>
            <w:r>
              <w:rPr>
                <w:rFonts w:ascii="宋体" w:hAnsi="宋体"/>
                <w:b/>
                <w:color w:val="auto"/>
                <w:kern w:val="0"/>
                <w:szCs w:val="21"/>
                <w:highlight w:val="none"/>
              </w:rPr>
              <w:t>具备法律、行政法规规定的其他条件的证明材料</w:t>
            </w:r>
            <w:r>
              <w:rPr>
                <w:rFonts w:hint="eastAsia" w:ascii="宋体" w:hAnsi="宋体"/>
                <w:b/>
                <w:color w:val="auto"/>
                <w:kern w:val="0"/>
                <w:szCs w:val="21"/>
                <w:highlight w:val="none"/>
              </w:rPr>
              <w:t>：</w:t>
            </w:r>
          </w:p>
          <w:p>
            <w:pPr>
              <w:adjustRightInd w:val="0"/>
              <w:spacing w:line="360" w:lineRule="auto"/>
              <w:textAlignment w:val="baseline"/>
              <w:rPr>
                <w:rFonts w:ascii="宋体" w:hAnsi="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提供投标人书面声明，承诺未违反</w:t>
            </w:r>
            <w:r>
              <w:rPr>
                <w:rFonts w:hint="eastAsia" w:ascii="宋体" w:hAnsi="宋体"/>
                <w:color w:val="auto"/>
                <w:kern w:val="0"/>
                <w:szCs w:val="21"/>
                <w:highlight w:val="none"/>
              </w:rPr>
              <w:t>《中华人民共和国政府采购法实施条例》第十八条“单位负责人为同一人或者存在直接控股、管理关系的不同投标人，不得参加同一合同项下的政府采购活动。为采购项目提供整体设计、规范编制或者项目管理、监理、检测等服务的投标人，不得再参加该采购项目的其他采购活动”相关规定；</w:t>
            </w:r>
          </w:p>
          <w:p>
            <w:pPr>
              <w:tabs>
                <w:tab w:val="left" w:pos="743"/>
              </w:tabs>
              <w:adjustRightInd w:val="0"/>
              <w:spacing w:line="360" w:lineRule="auto"/>
              <w:textAlignment w:val="baseline"/>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企业资质等级证书；</w:t>
            </w:r>
          </w:p>
          <w:p>
            <w:pPr>
              <w:tabs>
                <w:tab w:val="left" w:pos="743"/>
              </w:tabs>
              <w:adjustRightInd w:val="0"/>
              <w:spacing w:line="360" w:lineRule="auto"/>
              <w:textAlignment w:val="baseline"/>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w:t>
            </w:r>
            <w:r>
              <w:rPr>
                <w:rFonts w:hint="eastAsia" w:ascii="宋体" w:hAnsi="宋体"/>
                <w:color w:val="auto"/>
                <w:kern w:val="0"/>
                <w:szCs w:val="21"/>
                <w:highlight w:val="none"/>
              </w:rPr>
              <w:t>安全生产许可证（有效期内）；</w:t>
            </w:r>
          </w:p>
          <w:p>
            <w:pPr>
              <w:spacing w:line="320" w:lineRule="exact"/>
              <w:rPr>
                <w:rFonts w:ascii="宋体" w:hAnsi="宋体"/>
                <w:color w:val="auto"/>
                <w:szCs w:val="21"/>
                <w:highlight w:val="none"/>
              </w:rPr>
            </w:pPr>
            <w:r>
              <w:rPr>
                <w:rFonts w:hint="eastAsia" w:ascii="宋体" w:hAnsi="宋体"/>
                <w:color w:val="auto"/>
                <w:kern w:val="0"/>
                <w:szCs w:val="21"/>
                <w:highlight w:val="none"/>
              </w:rPr>
              <w:t>4</w:t>
            </w:r>
            <w:r>
              <w:rPr>
                <w:rFonts w:ascii="宋体" w:hAnsi="宋体"/>
                <w:color w:val="auto"/>
                <w:kern w:val="0"/>
                <w:szCs w:val="21"/>
                <w:highlight w:val="none"/>
              </w:rPr>
              <w:t>.</w:t>
            </w:r>
            <w:r>
              <w:rPr>
                <w:rFonts w:hint="eastAsia" w:ascii="宋体" w:hAnsi="宋体"/>
                <w:color w:val="auto"/>
                <w:kern w:val="0"/>
                <w:szCs w:val="21"/>
                <w:highlight w:val="none"/>
              </w:rPr>
              <w:t>项目负责人注册建造师证书、安全生产考核合格证书和无在建证明。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71" w:type="dxa"/>
            <w:vAlign w:val="center"/>
          </w:tcPr>
          <w:p>
            <w:pPr>
              <w:jc w:val="center"/>
              <w:rPr>
                <w:rFonts w:ascii="宋体" w:hAnsi="宋体"/>
                <w:color w:val="auto"/>
                <w:szCs w:val="21"/>
                <w:highlight w:val="none"/>
              </w:rPr>
            </w:pPr>
            <w:r>
              <w:rPr>
                <w:rFonts w:ascii="宋体" w:hAnsi="宋体"/>
                <w:color w:val="auto"/>
                <w:szCs w:val="21"/>
                <w:highlight w:val="none"/>
              </w:rPr>
              <w:t>10.3</w:t>
            </w:r>
          </w:p>
        </w:tc>
        <w:tc>
          <w:tcPr>
            <w:tcW w:w="2262" w:type="dxa"/>
            <w:gridSpan w:val="3"/>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招标</w:t>
            </w:r>
            <w:r>
              <w:rPr>
                <w:rFonts w:ascii="宋体" w:hAnsi="宋体"/>
                <w:b/>
                <w:color w:val="auto"/>
                <w:szCs w:val="21"/>
                <w:highlight w:val="none"/>
              </w:rPr>
              <w:t>代理服务费</w:t>
            </w:r>
          </w:p>
          <w:p>
            <w:pPr>
              <w:jc w:val="center"/>
              <w:rPr>
                <w:rFonts w:ascii="宋体" w:hAnsi="宋体"/>
                <w:b/>
                <w:color w:val="auto"/>
                <w:szCs w:val="21"/>
                <w:highlight w:val="none"/>
              </w:rPr>
            </w:pPr>
            <w:r>
              <w:rPr>
                <w:rFonts w:ascii="宋体" w:hAnsi="宋体"/>
                <w:b/>
                <w:color w:val="auto"/>
                <w:szCs w:val="21"/>
                <w:highlight w:val="none"/>
              </w:rPr>
              <w:t>等费用</w:t>
            </w:r>
          </w:p>
        </w:tc>
        <w:tc>
          <w:tcPr>
            <w:tcW w:w="5939" w:type="dxa"/>
            <w:gridSpan w:val="2"/>
            <w:vAlign w:val="center"/>
          </w:tcPr>
          <w:p>
            <w:pPr>
              <w:spacing w:line="360" w:lineRule="auto"/>
              <w:jc w:val="left"/>
              <w:rPr>
                <w:rFonts w:ascii="宋体" w:hAnsi="宋体" w:cs="宋体"/>
                <w:bCs/>
                <w:color w:val="auto"/>
                <w:szCs w:val="21"/>
                <w:highlight w:val="none"/>
              </w:rPr>
            </w:pPr>
            <w:r>
              <w:rPr>
                <w:rFonts w:hint="eastAsia" w:ascii="宋体" w:hAnsi="宋体"/>
                <w:color w:val="auto"/>
                <w:szCs w:val="21"/>
                <w:highlight w:val="none"/>
              </w:rPr>
              <w:t>■</w:t>
            </w:r>
            <w:r>
              <w:rPr>
                <w:rFonts w:hint="eastAsia" w:ascii="宋体" w:hAnsi="宋体" w:cs="宋体"/>
                <w:bCs/>
                <w:color w:val="auto"/>
                <w:szCs w:val="21"/>
                <w:highlight w:val="none"/>
              </w:rPr>
              <w:t>投标总价包含招标代理服务费。</w:t>
            </w:r>
          </w:p>
          <w:p>
            <w:pPr>
              <w:spacing w:line="360" w:lineRule="auto"/>
              <w:jc w:val="left"/>
              <w:rPr>
                <w:rFonts w:ascii="宋体" w:hAnsi="宋体"/>
                <w:b/>
                <w:color w:val="auto"/>
                <w:szCs w:val="21"/>
                <w:highlight w:val="none"/>
              </w:rPr>
            </w:pPr>
            <w:r>
              <w:rPr>
                <w:rFonts w:hint="eastAsia" w:ascii="宋体" w:hAnsi="宋体" w:cs="宋体"/>
                <w:bCs/>
                <w:color w:val="auto"/>
                <w:szCs w:val="21"/>
                <w:highlight w:val="none"/>
              </w:rPr>
              <w:t>□投标总价不包含招标代理服务费。由采购人按照招标代理合同的约定向采购代理机构支付相应费用。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71" w:type="dxa"/>
            <w:vAlign w:val="center"/>
          </w:tcPr>
          <w:p>
            <w:pPr>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0.4</w:t>
            </w:r>
          </w:p>
        </w:tc>
        <w:tc>
          <w:tcPr>
            <w:tcW w:w="2262" w:type="dxa"/>
            <w:gridSpan w:val="3"/>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图纸链接</w:t>
            </w:r>
          </w:p>
        </w:tc>
        <w:tc>
          <w:tcPr>
            <w:tcW w:w="5939" w:type="dxa"/>
            <w:gridSpan w:val="2"/>
            <w:vAlign w:val="center"/>
          </w:tcPr>
          <w:p>
            <w:pPr>
              <w:spacing w:line="360" w:lineRule="auto"/>
              <w:jc w:val="left"/>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71" w:type="dxa"/>
            <w:vAlign w:val="center"/>
          </w:tcPr>
          <w:p>
            <w:pPr>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0.5</w:t>
            </w:r>
          </w:p>
        </w:tc>
        <w:tc>
          <w:tcPr>
            <w:tcW w:w="2262" w:type="dxa"/>
            <w:gridSpan w:val="3"/>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政策法规</w:t>
            </w:r>
          </w:p>
        </w:tc>
        <w:tc>
          <w:tcPr>
            <w:tcW w:w="5939" w:type="dxa"/>
            <w:gridSpan w:val="2"/>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疫情防控</w:t>
            </w:r>
            <w:r>
              <w:rPr>
                <w:rFonts w:ascii="宋体" w:hAnsi="宋体"/>
                <w:bCs/>
                <w:color w:val="auto"/>
                <w:szCs w:val="21"/>
                <w:highlight w:val="none"/>
              </w:rPr>
              <w:t>期间的采购活动严格遵守以下通知要求</w:t>
            </w:r>
            <w:r>
              <w:rPr>
                <w:rFonts w:hint="eastAsia" w:ascii="宋体" w:hAnsi="宋体"/>
                <w:bCs/>
                <w:color w:val="auto"/>
                <w:szCs w:val="21"/>
                <w:highlight w:val="none"/>
              </w:rPr>
              <w:t>：</w:t>
            </w:r>
          </w:p>
          <w:p>
            <w:pPr>
              <w:spacing w:line="360" w:lineRule="auto"/>
              <w:jc w:val="left"/>
              <w:rPr>
                <w:rFonts w:ascii="宋体" w:hAnsi="宋体"/>
                <w:b/>
                <w:bCs/>
                <w:color w:val="auto"/>
                <w:szCs w:val="21"/>
                <w:highlight w:val="none"/>
                <w:lang w:val="zh-CN"/>
              </w:rPr>
            </w:pPr>
            <w:r>
              <w:rPr>
                <w:rFonts w:ascii="宋体" w:hAnsi="宋体"/>
                <w:bCs/>
                <w:color w:val="auto"/>
                <w:szCs w:val="21"/>
                <w:highlight w:val="none"/>
              </w:rPr>
              <w:t>1.</w:t>
            </w:r>
            <w:r>
              <w:rPr>
                <w:rFonts w:ascii="宋体" w:hAnsi="宋体"/>
                <w:b/>
                <w:bCs/>
                <w:color w:val="auto"/>
                <w:kern w:val="0"/>
                <w:szCs w:val="21"/>
                <w:highlight w:val="none"/>
                <w:lang w:val="zh-CN" w:eastAsia="zh-CN"/>
              </w:rPr>
              <w:t xml:space="preserve"> </w:t>
            </w:r>
            <w:r>
              <w:rPr>
                <w:rFonts w:hint="eastAsia" w:ascii="宋体" w:hAnsi="宋体"/>
                <w:b/>
                <w:bCs/>
                <w:color w:val="auto"/>
                <w:szCs w:val="21"/>
                <w:highlight w:val="none"/>
                <w:lang w:val="zh-CN"/>
              </w:rPr>
              <w:t>《关于疫情防控采购便利化的通知》（财办库〔</w:t>
            </w:r>
            <w:r>
              <w:rPr>
                <w:rFonts w:ascii="宋体" w:hAnsi="宋体"/>
                <w:b/>
                <w:bCs/>
                <w:color w:val="auto"/>
                <w:szCs w:val="21"/>
                <w:highlight w:val="none"/>
                <w:lang w:val="zh-CN"/>
              </w:rPr>
              <w:t>2020〕23号）；</w:t>
            </w:r>
          </w:p>
          <w:p>
            <w:pPr>
              <w:spacing w:line="360" w:lineRule="auto"/>
              <w:jc w:val="left"/>
              <w:rPr>
                <w:rFonts w:ascii="宋体" w:hAnsi="宋体"/>
                <w:bCs/>
                <w:color w:val="auto"/>
                <w:szCs w:val="21"/>
                <w:highlight w:val="none"/>
              </w:rPr>
            </w:pPr>
            <w:r>
              <w:rPr>
                <w:rFonts w:ascii="宋体" w:hAnsi="宋体"/>
                <w:b/>
                <w:bCs/>
                <w:color w:val="auto"/>
                <w:szCs w:val="21"/>
                <w:highlight w:val="none"/>
                <w:lang w:val="zh-CN"/>
              </w:rPr>
              <w:t>2.</w:t>
            </w:r>
            <w:r>
              <w:rPr>
                <w:rFonts w:ascii="宋体" w:hAnsi="宋体"/>
                <w:b/>
                <w:bCs/>
                <w:color w:val="auto"/>
                <w:kern w:val="0"/>
                <w:szCs w:val="21"/>
                <w:highlight w:val="none"/>
                <w:lang w:val="zh-CN" w:eastAsia="zh-CN"/>
              </w:rPr>
              <w:t xml:space="preserve"> </w:t>
            </w:r>
            <w:r>
              <w:rPr>
                <w:rFonts w:hint="eastAsia" w:ascii="宋体" w:hAnsi="宋体"/>
                <w:b/>
                <w:bCs/>
                <w:color w:val="auto"/>
                <w:szCs w:val="21"/>
                <w:highlight w:val="none"/>
                <w:lang w:val="zh-CN"/>
              </w:rPr>
              <w:t>《关于疫情防控期间开展政府采购活动有关事项的通知》（财办库〔</w:t>
            </w:r>
            <w:r>
              <w:rPr>
                <w:rFonts w:ascii="宋体" w:hAnsi="宋体"/>
                <w:b/>
                <w:bCs/>
                <w:color w:val="auto"/>
                <w:szCs w:val="21"/>
                <w:highlight w:val="none"/>
                <w:lang w:val="zh-CN"/>
              </w:rPr>
              <w:t>2020〕29号）。</w:t>
            </w:r>
          </w:p>
        </w:tc>
      </w:tr>
    </w:tbl>
    <w:p>
      <w:pPr>
        <w:rPr>
          <w:rFonts w:asciiTheme="minorEastAsia" w:hAnsiTheme="minorEastAsia" w:eastAsiaTheme="minorEastAsia"/>
          <w:color w:val="auto"/>
          <w:sz w:val="30"/>
          <w:szCs w:val="30"/>
          <w:highlight w:val="none"/>
        </w:rPr>
      </w:pPr>
    </w:p>
    <w:p>
      <w:pPr>
        <w:pStyle w:val="3"/>
        <w:keepNext w:val="0"/>
        <w:keepLines w:val="0"/>
        <w:jc w:val="center"/>
        <w:rPr>
          <w:rFonts w:asciiTheme="minorEastAsia" w:hAnsiTheme="minorEastAsia" w:eastAsiaTheme="minorEastAsia"/>
          <w:color w:val="auto"/>
          <w:highlight w:val="none"/>
        </w:rPr>
      </w:pPr>
      <w:r>
        <w:rPr>
          <w:color w:val="auto"/>
          <w:sz w:val="30"/>
          <w:szCs w:val="30"/>
          <w:highlight w:val="none"/>
        </w:rPr>
        <w:br w:type="page"/>
      </w:r>
      <w:bookmarkStart w:id="21" w:name="_Toc347819269"/>
      <w:r>
        <w:rPr>
          <w:rFonts w:hint="eastAsia" w:asciiTheme="minorEastAsia" w:hAnsiTheme="minorEastAsia" w:eastAsiaTheme="minorEastAsia"/>
          <w:color w:val="auto"/>
          <w:highlight w:val="none"/>
        </w:rPr>
        <w:t>投标人须知正文</w:t>
      </w:r>
      <w:bookmarkEnd w:id="21"/>
    </w:p>
    <w:p>
      <w:pPr>
        <w:pStyle w:val="3"/>
        <w:keepNext w:val="0"/>
        <w:keepLines w:val="0"/>
        <w:spacing w:line="360" w:lineRule="auto"/>
        <w:rPr>
          <w:rFonts w:ascii="宋体" w:hAnsi="宋体" w:eastAsia="宋体"/>
          <w:b w:val="0"/>
          <w:color w:val="auto"/>
          <w:sz w:val="30"/>
          <w:szCs w:val="30"/>
          <w:highlight w:val="none"/>
        </w:rPr>
      </w:pPr>
      <w:bookmarkStart w:id="22" w:name="_Toc509328904"/>
      <w:bookmarkStart w:id="23" w:name="_Toc31809"/>
      <w:bookmarkStart w:id="24" w:name="_Toc448129429"/>
      <w:bookmarkStart w:id="25" w:name="_Toc503862606"/>
      <w:bookmarkStart w:id="26" w:name="_Toc466881188"/>
      <w:r>
        <w:rPr>
          <w:rFonts w:hint="eastAsia" w:ascii="宋体" w:hAnsi="宋体" w:eastAsia="宋体"/>
          <w:b w:val="0"/>
          <w:color w:val="auto"/>
          <w:sz w:val="30"/>
          <w:szCs w:val="30"/>
          <w:highlight w:val="none"/>
        </w:rPr>
        <w:t>1</w:t>
      </w:r>
      <w:r>
        <w:rPr>
          <w:rFonts w:ascii="宋体" w:hAnsi="宋体" w:eastAsia="宋体"/>
          <w:b w:val="0"/>
          <w:color w:val="auto"/>
          <w:sz w:val="30"/>
          <w:szCs w:val="30"/>
          <w:highlight w:val="none"/>
        </w:rPr>
        <w:t>．</w:t>
      </w:r>
      <w:r>
        <w:rPr>
          <w:rFonts w:hint="eastAsia" w:ascii="宋体" w:hAnsi="宋体" w:eastAsia="宋体"/>
          <w:b w:val="0"/>
          <w:color w:val="auto"/>
          <w:sz w:val="30"/>
          <w:szCs w:val="30"/>
          <w:highlight w:val="none"/>
        </w:rPr>
        <w:t>总则</w:t>
      </w:r>
      <w:bookmarkEnd w:id="22"/>
      <w:bookmarkEnd w:id="23"/>
      <w:bookmarkEnd w:id="24"/>
      <w:bookmarkEnd w:id="25"/>
      <w:bookmarkEnd w:id="26"/>
    </w:p>
    <w:p>
      <w:pPr>
        <w:spacing w:line="360" w:lineRule="auto"/>
        <w:rPr>
          <w:rFonts w:ascii="宋体" w:hAnsi="宋体"/>
          <w:color w:val="auto"/>
          <w:sz w:val="28"/>
          <w:szCs w:val="28"/>
          <w:highlight w:val="none"/>
        </w:rPr>
      </w:pPr>
      <w:r>
        <w:rPr>
          <w:rFonts w:ascii="宋体" w:hAnsi="宋体"/>
          <w:color w:val="auto"/>
          <w:sz w:val="28"/>
          <w:szCs w:val="28"/>
          <w:highlight w:val="none"/>
        </w:rPr>
        <w:t>1.1</w:t>
      </w:r>
      <w:r>
        <w:rPr>
          <w:rFonts w:hint="eastAsia" w:ascii="宋体" w:hAnsi="宋体"/>
          <w:color w:val="auto"/>
          <w:sz w:val="28"/>
          <w:szCs w:val="28"/>
          <w:highlight w:val="none"/>
        </w:rPr>
        <w:t>项目概况</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1.1.1</w:t>
      </w:r>
      <w:r>
        <w:rPr>
          <w:rFonts w:hint="eastAsia" w:ascii="宋体" w:hAnsi="宋体"/>
          <w:color w:val="auto"/>
          <w:szCs w:val="21"/>
          <w:highlight w:val="none"/>
        </w:rPr>
        <w:t>根据《</w:t>
      </w:r>
      <w:r>
        <w:rPr>
          <w:color w:val="auto"/>
          <w:highlight w:val="none"/>
        </w:rPr>
        <w:fldChar w:fldCharType="begin"/>
      </w:r>
      <w:r>
        <w:rPr>
          <w:color w:val="auto"/>
          <w:highlight w:val="none"/>
        </w:rPr>
        <w:instrText xml:space="preserve"> HYPERLINK "http://www.zfcg.sh.gov.cn/policymain.do?method=policyNew&amp;flag=new&amp;type=06" \o "中华人民共和国政府采购法" </w:instrText>
      </w:r>
      <w:r>
        <w:rPr>
          <w:color w:val="auto"/>
          <w:highlight w:val="none"/>
        </w:rPr>
        <w:fldChar w:fldCharType="separate"/>
      </w:r>
      <w:r>
        <w:rPr>
          <w:rStyle w:val="48"/>
          <w:rFonts w:ascii="宋体" w:hAnsi="宋体"/>
          <w:color w:val="auto"/>
          <w:szCs w:val="21"/>
          <w:highlight w:val="none"/>
        </w:rPr>
        <w:t>中华人民共和国政府采购法</w:t>
      </w:r>
      <w:r>
        <w:rPr>
          <w:rStyle w:val="48"/>
          <w:rFonts w:ascii="宋体" w:hAnsi="宋体"/>
          <w:color w:val="auto"/>
          <w:szCs w:val="21"/>
          <w:highlight w:val="none"/>
        </w:rPr>
        <w:fldChar w:fldCharType="end"/>
      </w:r>
      <w:r>
        <w:rPr>
          <w:rFonts w:hint="eastAsia" w:ascii="宋体" w:hAnsi="宋体"/>
          <w:color w:val="auto"/>
          <w:szCs w:val="21"/>
          <w:highlight w:val="none"/>
        </w:rPr>
        <w:t>》、《政府采购法实施条例》、《</w:t>
      </w:r>
      <w:r>
        <w:rPr>
          <w:color w:val="auto"/>
          <w:highlight w:val="none"/>
        </w:rPr>
        <w:fldChar w:fldCharType="begin"/>
      </w:r>
      <w:r>
        <w:rPr>
          <w:color w:val="auto"/>
          <w:highlight w:val="none"/>
        </w:rPr>
        <w:instrText xml:space="preserve"> HYPERLINK "http://www.zfcg.sh.gov.cn/policymain.do?method=policyNew&amp;flag=new&amp;type=06" \o "地方性法规" </w:instrText>
      </w:r>
      <w:r>
        <w:rPr>
          <w:color w:val="auto"/>
          <w:highlight w:val="none"/>
        </w:rPr>
        <w:fldChar w:fldCharType="separate"/>
      </w:r>
      <w:r>
        <w:rPr>
          <w:color w:val="auto"/>
          <w:highlight w:val="none"/>
        </w:rPr>
        <w:fldChar w:fldCharType="end"/>
      </w:r>
      <w:r>
        <w:rPr>
          <w:color w:val="auto"/>
          <w:highlight w:val="none"/>
        </w:rPr>
        <w:fldChar w:fldCharType="begin"/>
      </w:r>
      <w:r>
        <w:rPr>
          <w:color w:val="auto"/>
          <w:highlight w:val="none"/>
        </w:rPr>
        <w:instrText xml:space="preserve"> HYPERLINK "http://www.zfcg.sh.gov.cn/policymain.do?method=policyNew&amp;flag=new&amp;type=06" \o "上海市政府采购管理办法" </w:instrText>
      </w:r>
      <w:r>
        <w:rPr>
          <w:color w:val="auto"/>
          <w:highlight w:val="none"/>
        </w:rPr>
        <w:fldChar w:fldCharType="separate"/>
      </w:r>
      <w:r>
        <w:rPr>
          <w:rStyle w:val="48"/>
          <w:rFonts w:ascii="宋体" w:hAnsi="宋体"/>
          <w:color w:val="auto"/>
          <w:szCs w:val="21"/>
          <w:highlight w:val="none"/>
        </w:rPr>
        <w:t>上海市政府采购管理办法</w:t>
      </w:r>
      <w:r>
        <w:rPr>
          <w:rStyle w:val="48"/>
          <w:rFonts w:ascii="宋体" w:hAnsi="宋体"/>
          <w:color w:val="auto"/>
          <w:szCs w:val="21"/>
          <w:highlight w:val="none"/>
        </w:rPr>
        <w:fldChar w:fldCharType="end"/>
      </w:r>
      <w:r>
        <w:rPr>
          <w:rFonts w:hint="eastAsia" w:ascii="宋体" w:hAnsi="宋体"/>
          <w:color w:val="auto"/>
          <w:szCs w:val="21"/>
          <w:highlight w:val="none"/>
        </w:rPr>
        <w:t>》等有关法律、法规和规章的规定，本招标项目已具备招标条件，现对本项目施工进行招标。</w:t>
      </w:r>
    </w:p>
    <w:p>
      <w:pPr>
        <w:spacing w:line="360" w:lineRule="auto"/>
        <w:ind w:firstLine="403" w:firstLineChars="192"/>
        <w:rPr>
          <w:rFonts w:ascii="宋体" w:hAnsi="宋体"/>
          <w:color w:val="auto"/>
          <w:szCs w:val="21"/>
          <w:highlight w:val="none"/>
        </w:rPr>
      </w:pPr>
      <w:r>
        <w:rPr>
          <w:rFonts w:ascii="宋体" w:hAnsi="宋体"/>
          <w:color w:val="auto"/>
          <w:szCs w:val="21"/>
          <w:highlight w:val="none"/>
        </w:rPr>
        <w:t>1.1.2.</w:t>
      </w:r>
      <w:r>
        <w:rPr>
          <w:rFonts w:hint="eastAsia" w:ascii="宋体" w:hAnsi="宋体"/>
          <w:color w:val="auto"/>
          <w:szCs w:val="21"/>
          <w:highlight w:val="none"/>
        </w:rPr>
        <w:t>本招标项目采购人：见投标人须知前附表。</w:t>
      </w:r>
    </w:p>
    <w:p>
      <w:pPr>
        <w:spacing w:line="360" w:lineRule="auto"/>
        <w:ind w:firstLine="403" w:firstLineChars="192"/>
        <w:rPr>
          <w:rFonts w:ascii="宋体" w:hAnsi="宋体"/>
          <w:color w:val="auto"/>
          <w:szCs w:val="21"/>
          <w:highlight w:val="none"/>
        </w:rPr>
      </w:pPr>
      <w:r>
        <w:rPr>
          <w:rFonts w:ascii="宋体" w:hAnsi="宋体"/>
          <w:color w:val="auto"/>
          <w:szCs w:val="21"/>
          <w:highlight w:val="none"/>
        </w:rPr>
        <w:t>1.1.3.</w:t>
      </w:r>
      <w:r>
        <w:rPr>
          <w:rFonts w:hint="eastAsia" w:ascii="宋体" w:hAnsi="宋体"/>
          <w:color w:val="auto"/>
          <w:szCs w:val="21"/>
          <w:highlight w:val="none"/>
        </w:rPr>
        <w:t>本项目采购代理机构：见投标人须知前附表。</w:t>
      </w:r>
    </w:p>
    <w:p>
      <w:pPr>
        <w:spacing w:line="360" w:lineRule="auto"/>
        <w:ind w:firstLine="403" w:firstLineChars="192"/>
        <w:rPr>
          <w:rFonts w:ascii="宋体" w:hAnsi="宋体"/>
          <w:color w:val="auto"/>
          <w:szCs w:val="21"/>
          <w:highlight w:val="none"/>
        </w:rPr>
      </w:pPr>
      <w:r>
        <w:rPr>
          <w:rFonts w:hint="eastAsia" w:ascii="宋体" w:hAnsi="宋体"/>
          <w:color w:val="auto"/>
          <w:szCs w:val="21"/>
          <w:highlight w:val="none"/>
        </w:rPr>
        <w:t>本项目负责人：指具受采购代理机构授权，主持本标段招标代理工作的代表。</w:t>
      </w:r>
    </w:p>
    <w:p>
      <w:pPr>
        <w:spacing w:line="360" w:lineRule="auto"/>
        <w:ind w:firstLine="403" w:firstLineChars="192"/>
        <w:rPr>
          <w:rFonts w:ascii="宋体" w:hAnsi="宋体"/>
          <w:color w:val="auto"/>
          <w:szCs w:val="21"/>
          <w:highlight w:val="none"/>
        </w:rPr>
      </w:pPr>
      <w:r>
        <w:rPr>
          <w:rFonts w:ascii="宋体" w:hAnsi="宋体"/>
          <w:color w:val="auto"/>
          <w:szCs w:val="21"/>
          <w:highlight w:val="none"/>
        </w:rPr>
        <w:t>1.1.4</w:t>
      </w:r>
      <w:r>
        <w:rPr>
          <w:rFonts w:hint="eastAsia" w:ascii="宋体" w:hAnsi="宋体"/>
          <w:color w:val="auto"/>
          <w:szCs w:val="21"/>
          <w:highlight w:val="none"/>
        </w:rPr>
        <w:t>本招标项目名称：见投标人须知前附表。</w:t>
      </w:r>
    </w:p>
    <w:p>
      <w:pPr>
        <w:spacing w:line="360" w:lineRule="auto"/>
        <w:ind w:firstLine="403" w:firstLineChars="192"/>
        <w:rPr>
          <w:rFonts w:ascii="宋体" w:hAnsi="宋体"/>
          <w:color w:val="auto"/>
          <w:szCs w:val="21"/>
          <w:highlight w:val="none"/>
        </w:rPr>
      </w:pPr>
      <w:r>
        <w:rPr>
          <w:rFonts w:ascii="宋体" w:hAnsi="宋体"/>
          <w:color w:val="auto"/>
          <w:szCs w:val="21"/>
          <w:highlight w:val="none"/>
        </w:rPr>
        <w:t>1.1.5本项目建设地点：见投标人须知前附表。</w:t>
      </w:r>
    </w:p>
    <w:p>
      <w:pPr>
        <w:spacing w:line="360" w:lineRule="auto"/>
        <w:ind w:firstLine="403" w:firstLineChars="192"/>
        <w:rPr>
          <w:rFonts w:ascii="宋体" w:hAnsi="宋体"/>
          <w:color w:val="auto"/>
          <w:szCs w:val="21"/>
          <w:highlight w:val="none"/>
        </w:rPr>
      </w:pPr>
      <w:r>
        <w:rPr>
          <w:rFonts w:ascii="宋体" w:hAnsi="宋体"/>
          <w:color w:val="auto"/>
          <w:szCs w:val="21"/>
          <w:highlight w:val="none"/>
        </w:rPr>
        <w:t>1.1.6本项目建设规模：见投标人须知前附表。</w:t>
      </w:r>
    </w:p>
    <w:p>
      <w:pPr>
        <w:spacing w:line="360" w:lineRule="auto"/>
        <w:rPr>
          <w:rFonts w:ascii="宋体" w:hAnsi="宋体"/>
          <w:color w:val="auto"/>
          <w:sz w:val="28"/>
          <w:szCs w:val="28"/>
          <w:highlight w:val="none"/>
        </w:rPr>
      </w:pPr>
      <w:r>
        <w:rPr>
          <w:rFonts w:ascii="宋体" w:hAnsi="宋体"/>
          <w:color w:val="auto"/>
          <w:sz w:val="28"/>
          <w:szCs w:val="28"/>
          <w:highlight w:val="none"/>
        </w:rPr>
        <w:t>1.2</w:t>
      </w:r>
      <w:r>
        <w:rPr>
          <w:rFonts w:hint="eastAsia" w:ascii="宋体" w:hAnsi="宋体"/>
          <w:color w:val="auto"/>
          <w:sz w:val="28"/>
          <w:szCs w:val="28"/>
          <w:highlight w:val="none"/>
        </w:rPr>
        <w:t>资金来源和落实情况</w:t>
      </w:r>
    </w:p>
    <w:p>
      <w:pPr>
        <w:spacing w:line="360" w:lineRule="auto"/>
        <w:ind w:firstLine="403" w:firstLineChars="192"/>
        <w:rPr>
          <w:rFonts w:ascii="宋体" w:hAnsi="宋体"/>
          <w:color w:val="auto"/>
          <w:szCs w:val="21"/>
          <w:highlight w:val="none"/>
        </w:rPr>
      </w:pPr>
      <w:r>
        <w:rPr>
          <w:rFonts w:ascii="宋体" w:hAnsi="宋体"/>
          <w:color w:val="auto"/>
          <w:szCs w:val="21"/>
          <w:highlight w:val="none"/>
        </w:rPr>
        <w:t>1.2.1</w:t>
      </w:r>
      <w:r>
        <w:rPr>
          <w:rFonts w:hint="eastAsia" w:ascii="宋体" w:hAnsi="宋体"/>
          <w:color w:val="auto"/>
          <w:szCs w:val="21"/>
          <w:highlight w:val="none"/>
        </w:rPr>
        <w:t>本招标项目的资金来源：见投标人须知前附表。</w:t>
      </w:r>
    </w:p>
    <w:p>
      <w:pPr>
        <w:spacing w:line="360" w:lineRule="auto"/>
        <w:ind w:firstLine="403" w:firstLineChars="192"/>
        <w:rPr>
          <w:rFonts w:ascii="宋体" w:hAnsi="宋体"/>
          <w:color w:val="auto"/>
          <w:szCs w:val="21"/>
          <w:highlight w:val="none"/>
        </w:rPr>
      </w:pPr>
      <w:r>
        <w:rPr>
          <w:rFonts w:ascii="宋体" w:hAnsi="宋体"/>
          <w:color w:val="auto"/>
          <w:szCs w:val="21"/>
          <w:highlight w:val="none"/>
        </w:rPr>
        <w:t>1.2.2</w:t>
      </w:r>
      <w:r>
        <w:rPr>
          <w:rFonts w:hint="eastAsia" w:ascii="宋体" w:hAnsi="宋体"/>
          <w:color w:val="auto"/>
          <w:szCs w:val="21"/>
          <w:highlight w:val="none"/>
        </w:rPr>
        <w:t>本招标项目的出资比例：见投标人须知前附表。</w:t>
      </w:r>
    </w:p>
    <w:p>
      <w:pPr>
        <w:spacing w:line="360" w:lineRule="auto"/>
        <w:ind w:firstLine="403" w:firstLineChars="192"/>
        <w:rPr>
          <w:rFonts w:ascii="宋体" w:hAnsi="宋体"/>
          <w:color w:val="auto"/>
          <w:szCs w:val="21"/>
          <w:highlight w:val="none"/>
        </w:rPr>
      </w:pPr>
      <w:r>
        <w:rPr>
          <w:rFonts w:ascii="宋体" w:hAnsi="宋体"/>
          <w:color w:val="auto"/>
          <w:szCs w:val="21"/>
          <w:highlight w:val="none"/>
        </w:rPr>
        <w:t>1.2.3</w:t>
      </w:r>
      <w:r>
        <w:rPr>
          <w:rFonts w:hint="eastAsia" w:ascii="宋体" w:hAnsi="宋体"/>
          <w:color w:val="auto"/>
          <w:szCs w:val="21"/>
          <w:highlight w:val="none"/>
        </w:rPr>
        <w:t>本招标项目的资金落实情况：见投标人须知前附表。</w:t>
      </w:r>
    </w:p>
    <w:p>
      <w:pPr>
        <w:spacing w:line="360" w:lineRule="auto"/>
        <w:rPr>
          <w:rFonts w:ascii="宋体" w:hAnsi="宋体"/>
          <w:color w:val="auto"/>
          <w:sz w:val="28"/>
          <w:szCs w:val="28"/>
          <w:highlight w:val="none"/>
        </w:rPr>
      </w:pPr>
      <w:r>
        <w:rPr>
          <w:rFonts w:ascii="宋体" w:hAnsi="宋体"/>
          <w:color w:val="auto"/>
          <w:sz w:val="28"/>
          <w:szCs w:val="28"/>
          <w:highlight w:val="none"/>
        </w:rPr>
        <w:t>1.3</w:t>
      </w:r>
      <w:r>
        <w:rPr>
          <w:rFonts w:hint="eastAsia" w:ascii="宋体" w:hAnsi="宋体"/>
          <w:color w:val="auto"/>
          <w:sz w:val="28"/>
          <w:szCs w:val="28"/>
          <w:highlight w:val="none"/>
        </w:rPr>
        <w:t>招标范围、计划工期和质量要求</w:t>
      </w:r>
    </w:p>
    <w:p>
      <w:pPr>
        <w:spacing w:line="360" w:lineRule="auto"/>
        <w:ind w:firstLine="403" w:firstLineChars="192"/>
        <w:rPr>
          <w:rFonts w:ascii="宋体" w:hAnsi="宋体"/>
          <w:color w:val="auto"/>
          <w:szCs w:val="21"/>
          <w:highlight w:val="none"/>
        </w:rPr>
      </w:pPr>
      <w:r>
        <w:rPr>
          <w:rFonts w:ascii="宋体" w:hAnsi="宋体"/>
          <w:color w:val="auto"/>
          <w:szCs w:val="21"/>
          <w:highlight w:val="none"/>
        </w:rPr>
        <w:t>1.3.1</w:t>
      </w:r>
      <w:r>
        <w:rPr>
          <w:rFonts w:hint="eastAsia" w:ascii="宋体" w:hAnsi="宋体"/>
          <w:color w:val="auto"/>
          <w:szCs w:val="21"/>
          <w:highlight w:val="none"/>
        </w:rPr>
        <w:t>本次招标范围：见投标人须知前附表。</w:t>
      </w:r>
    </w:p>
    <w:p>
      <w:pPr>
        <w:spacing w:line="360" w:lineRule="auto"/>
        <w:ind w:firstLine="403" w:firstLineChars="192"/>
        <w:rPr>
          <w:rFonts w:ascii="宋体" w:hAnsi="宋体"/>
          <w:color w:val="auto"/>
          <w:szCs w:val="21"/>
          <w:highlight w:val="none"/>
        </w:rPr>
      </w:pPr>
      <w:r>
        <w:rPr>
          <w:rFonts w:ascii="宋体" w:hAnsi="宋体"/>
          <w:color w:val="auto"/>
          <w:szCs w:val="21"/>
          <w:highlight w:val="none"/>
        </w:rPr>
        <w:t>1.3.2</w:t>
      </w:r>
      <w:r>
        <w:rPr>
          <w:rFonts w:hint="eastAsia" w:ascii="宋体" w:hAnsi="宋体"/>
          <w:color w:val="auto"/>
          <w:szCs w:val="21"/>
          <w:highlight w:val="none"/>
        </w:rPr>
        <w:t>本项目的计划工期：见投标人须知前附表。</w:t>
      </w:r>
    </w:p>
    <w:p>
      <w:pPr>
        <w:spacing w:line="360" w:lineRule="auto"/>
        <w:ind w:firstLine="403" w:firstLineChars="192"/>
        <w:rPr>
          <w:rFonts w:ascii="宋体" w:hAnsi="宋体"/>
          <w:color w:val="auto"/>
          <w:szCs w:val="21"/>
          <w:highlight w:val="none"/>
        </w:rPr>
      </w:pPr>
      <w:r>
        <w:rPr>
          <w:rFonts w:ascii="宋体" w:hAnsi="宋体"/>
          <w:color w:val="auto"/>
          <w:szCs w:val="21"/>
          <w:highlight w:val="none"/>
        </w:rPr>
        <w:t>1.3.3</w:t>
      </w:r>
      <w:r>
        <w:rPr>
          <w:rFonts w:hint="eastAsia" w:ascii="宋体" w:hAnsi="宋体"/>
          <w:color w:val="auto"/>
          <w:szCs w:val="21"/>
          <w:highlight w:val="none"/>
        </w:rPr>
        <w:t>本项目的质量要求：见投标人须知前附表。</w:t>
      </w:r>
    </w:p>
    <w:p>
      <w:pPr>
        <w:spacing w:line="360" w:lineRule="auto"/>
        <w:rPr>
          <w:rFonts w:ascii="宋体" w:hAnsi="宋体"/>
          <w:color w:val="auto"/>
          <w:sz w:val="28"/>
          <w:szCs w:val="28"/>
          <w:highlight w:val="none"/>
        </w:rPr>
      </w:pPr>
      <w:r>
        <w:rPr>
          <w:rFonts w:ascii="宋体" w:hAnsi="宋体"/>
          <w:color w:val="auto"/>
          <w:sz w:val="28"/>
          <w:szCs w:val="28"/>
          <w:highlight w:val="none"/>
        </w:rPr>
        <w:t>1.4</w:t>
      </w:r>
      <w:r>
        <w:rPr>
          <w:rFonts w:hint="eastAsia" w:ascii="宋体" w:hAnsi="宋体"/>
          <w:color w:val="auto"/>
          <w:sz w:val="28"/>
          <w:szCs w:val="28"/>
          <w:highlight w:val="none"/>
        </w:rPr>
        <w:t>投标人资格要求</w:t>
      </w:r>
    </w:p>
    <w:p>
      <w:pPr>
        <w:spacing w:line="360" w:lineRule="auto"/>
        <w:ind w:firstLine="403" w:firstLineChars="192"/>
        <w:rPr>
          <w:rFonts w:ascii="宋体" w:hAnsi="宋体"/>
          <w:color w:val="auto"/>
          <w:szCs w:val="21"/>
          <w:highlight w:val="none"/>
        </w:rPr>
      </w:pPr>
      <w:r>
        <w:rPr>
          <w:rFonts w:ascii="宋体" w:hAnsi="宋体"/>
          <w:color w:val="auto"/>
          <w:szCs w:val="21"/>
          <w:highlight w:val="none"/>
        </w:rPr>
        <w:t>1.4.1</w:t>
      </w:r>
      <w:r>
        <w:rPr>
          <w:rFonts w:hint="eastAsia" w:ascii="宋体" w:hAnsi="宋体"/>
          <w:color w:val="auto"/>
          <w:szCs w:val="21"/>
          <w:highlight w:val="none"/>
        </w:rPr>
        <w:t>投标人应具备承担本项目施工的条件：</w:t>
      </w:r>
    </w:p>
    <w:p>
      <w:pPr>
        <w:spacing w:line="360" w:lineRule="auto"/>
        <w:ind w:firstLine="403" w:firstLineChars="192"/>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）资质条件：见投标人须知前附表。</w:t>
      </w:r>
    </w:p>
    <w:p>
      <w:pPr>
        <w:spacing w:line="360" w:lineRule="auto"/>
        <w:ind w:firstLine="403" w:firstLineChars="192"/>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）项目经理资格：见投标人须知前附表。</w:t>
      </w:r>
    </w:p>
    <w:p>
      <w:pPr>
        <w:spacing w:line="360" w:lineRule="auto"/>
        <w:ind w:firstLine="403" w:firstLineChars="192"/>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）业绩要求：见投标人须知前附表。</w:t>
      </w:r>
    </w:p>
    <w:p>
      <w:pPr>
        <w:spacing w:line="360" w:lineRule="auto"/>
        <w:ind w:firstLine="403" w:firstLineChars="192"/>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4）其他要求：见投标人须知前附表。</w:t>
      </w:r>
    </w:p>
    <w:p>
      <w:pPr>
        <w:spacing w:line="360" w:lineRule="auto"/>
        <w:ind w:firstLine="403" w:firstLineChars="192"/>
        <w:rPr>
          <w:rFonts w:ascii="宋体" w:hAnsi="宋体"/>
          <w:color w:val="auto"/>
          <w:szCs w:val="21"/>
          <w:highlight w:val="none"/>
        </w:rPr>
      </w:pPr>
      <w:r>
        <w:rPr>
          <w:rFonts w:ascii="宋体" w:hAnsi="宋体"/>
          <w:color w:val="auto"/>
          <w:szCs w:val="21"/>
          <w:highlight w:val="none"/>
        </w:rPr>
        <w:t>1.4.2</w:t>
      </w:r>
      <w:r>
        <w:rPr>
          <w:rFonts w:hint="eastAsia" w:ascii="宋体" w:hAnsi="宋体"/>
          <w:color w:val="auto"/>
          <w:szCs w:val="21"/>
          <w:highlight w:val="none"/>
        </w:rPr>
        <w:t>投标人须知前附表规定接受联合体投标的，除应符合本章第</w:t>
      </w:r>
      <w:r>
        <w:rPr>
          <w:rFonts w:ascii="宋体" w:hAnsi="宋体"/>
          <w:color w:val="auto"/>
          <w:szCs w:val="21"/>
          <w:highlight w:val="none"/>
        </w:rPr>
        <w:t>1.4.1</w:t>
      </w:r>
      <w:r>
        <w:rPr>
          <w:rFonts w:hint="eastAsia" w:ascii="宋体" w:hAnsi="宋体"/>
          <w:color w:val="auto"/>
          <w:szCs w:val="21"/>
          <w:highlight w:val="none"/>
        </w:rPr>
        <w:t>项外，还应遵守以下规定：</w:t>
      </w:r>
    </w:p>
    <w:p>
      <w:pPr>
        <w:spacing w:line="360" w:lineRule="auto"/>
        <w:ind w:firstLine="403" w:firstLineChars="192"/>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联合体各方应按第八章“投标文件格式”提供的格式签订联合体协议，明确联合体牵头人和各方权利义务与职责分工；联合体各方应依据联合体协议所规定的分工，具备相应的资质和能力。联合体各方必须指定牵头人，授权其代表所有联合体成员负责投标和合同实施阶段的主办、协调工作。</w:t>
      </w:r>
    </w:p>
    <w:p>
      <w:pPr>
        <w:spacing w:line="360" w:lineRule="auto"/>
        <w:ind w:firstLine="403" w:firstLineChars="192"/>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）由同一专业的单位组成的联合体，按照资质等级较低的投标人确定资质等级；</w:t>
      </w:r>
    </w:p>
    <w:p>
      <w:pPr>
        <w:spacing w:line="360" w:lineRule="auto"/>
        <w:ind w:firstLine="403" w:firstLineChars="192"/>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）联合体各方不得再以自己的名义单独或参加其他联合体在同一项目中的投标；否则，相关投标均无效；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（4）投标文件要求提交投标保证金的，可以由联合体中的一方或者多方共同交纳投标保证金，其交纳的投标保证金对联合体各方均具有约束力；</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（5）联合体中标的，联合体牵头人与采购人签订采购合同，联合体各方就采购合同约定的事项对采购人承担连带责任；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根据《财政部关于在政府采购活动中查询及使用信用记录有关问题的通知》（财库〔2016〕125号）的规定，应当对所有联合体成员进行信用记录查询，联合体成员存在不良信用记录的，视同联合体存在不良信用记录，将拒绝其参与政府采购活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7）</w:t>
      </w:r>
      <w:r>
        <w:rPr>
          <w:rFonts w:hint="eastAsia" w:ascii="宋体" w:hAnsi="宋体"/>
          <w:b/>
          <w:color w:val="auto"/>
          <w:szCs w:val="21"/>
          <w:highlight w:val="none"/>
        </w:rPr>
        <w:t>联合体中标的项目，在中标公告中联合体各方的相关信息均应一并公告。</w:t>
      </w:r>
    </w:p>
    <w:p>
      <w:pPr>
        <w:spacing w:line="360" w:lineRule="auto"/>
        <w:ind w:firstLine="403" w:firstLineChars="192"/>
        <w:rPr>
          <w:rFonts w:ascii="宋体" w:hAnsi="宋体"/>
          <w:color w:val="auto"/>
          <w:szCs w:val="21"/>
          <w:highlight w:val="none"/>
        </w:rPr>
      </w:pPr>
      <w:r>
        <w:rPr>
          <w:rFonts w:ascii="宋体" w:hAnsi="宋体"/>
          <w:color w:val="auto"/>
          <w:szCs w:val="21"/>
          <w:highlight w:val="none"/>
        </w:rPr>
        <w:t>1.4.3</w:t>
      </w:r>
      <w:r>
        <w:rPr>
          <w:rFonts w:hint="eastAsia" w:ascii="宋体" w:hAnsi="宋体"/>
          <w:color w:val="auto"/>
          <w:szCs w:val="21"/>
          <w:highlight w:val="none"/>
        </w:rPr>
        <w:t>投标人不得存在下列情形之一：</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（1）为采购人不具有独立法人资格的附属机构（单位）；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（2）与采购人存在利害关系且可能影响采购公正性；</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（3）与本标段的其他投标人为同一个单位负责人；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（4）与本标段的其他投标人存在控股、管理关系；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（5）为本标段的代建人；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（6）为本标段的采购代理机构；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（7）为承担建设工程的前期设计、造价咨询、监理服务的法人或其任何附属机构（单位）；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（8）与本标段的设计单位、造价咨询机构、监理单位、代建单位或采购代理机构为同为一个法定代表人；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（9）与本标段的造价咨询机构、监理单位、代建单位或采购代理机构存在相互控股或参股关系；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（10）被依法暂停或取消投标资格的；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（11）被责令停业，暂扣或者吊销执照，或吊销资质证书；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（12）进入清算程序，或被宣告破产，或其他丧失履约能力的情形；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（13）在最近三年内发生重大施工质量问题的；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（14）被工商行政管理机关在全国企业信用信息公示系统中列入严重违法失信企业名单的；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（15）被最高人民法院在“信用中国”网站（www.creditchina.gov.cn）或各级信用信息共享平台中列入失信被执行人名单的；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（16）在近三年内投标人或其法定代表人、拟委任的项目负责人有行贿犯罪行为的；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（17）拖欠工人工资，情节严重被市建设行政管理部门向社会公布且在公布的期限内的；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（18）投标人违反法律、法规、规章或者无正当理由放弃投标、中标资格，采购人重新采购时，该投标人不得再参加该工程的投标。</w:t>
      </w:r>
    </w:p>
    <w:p>
      <w:pPr>
        <w:spacing w:line="360" w:lineRule="auto"/>
        <w:rPr>
          <w:rFonts w:ascii="宋体" w:hAnsi="宋体"/>
          <w:color w:val="auto"/>
          <w:sz w:val="28"/>
          <w:szCs w:val="28"/>
          <w:highlight w:val="none"/>
        </w:rPr>
      </w:pPr>
      <w:r>
        <w:rPr>
          <w:rFonts w:ascii="宋体" w:hAnsi="宋体"/>
          <w:color w:val="auto"/>
          <w:sz w:val="28"/>
          <w:szCs w:val="28"/>
          <w:highlight w:val="none"/>
        </w:rPr>
        <w:t>1.5</w:t>
      </w:r>
      <w:r>
        <w:rPr>
          <w:rFonts w:hint="eastAsia" w:ascii="宋体" w:hAnsi="宋体"/>
          <w:color w:val="auto"/>
          <w:sz w:val="28"/>
          <w:szCs w:val="28"/>
          <w:highlight w:val="none"/>
        </w:rPr>
        <w:t>费用承担</w:t>
      </w:r>
    </w:p>
    <w:p>
      <w:pPr>
        <w:spacing w:line="360" w:lineRule="auto"/>
        <w:ind w:firstLine="403" w:firstLineChars="192"/>
        <w:rPr>
          <w:rFonts w:ascii="宋体" w:hAnsi="宋体"/>
          <w:color w:val="auto"/>
          <w:szCs w:val="21"/>
          <w:highlight w:val="none"/>
        </w:rPr>
      </w:pPr>
      <w:r>
        <w:rPr>
          <w:rFonts w:hint="eastAsia" w:ascii="宋体" w:hAnsi="宋体"/>
          <w:color w:val="auto"/>
          <w:szCs w:val="21"/>
          <w:highlight w:val="none"/>
        </w:rPr>
        <w:t>投标人准备和参加投标活动发生的费用自理。</w:t>
      </w:r>
    </w:p>
    <w:p>
      <w:pPr>
        <w:spacing w:line="360" w:lineRule="auto"/>
        <w:rPr>
          <w:rFonts w:ascii="宋体" w:hAnsi="宋体"/>
          <w:color w:val="auto"/>
          <w:sz w:val="28"/>
          <w:szCs w:val="28"/>
          <w:highlight w:val="none"/>
        </w:rPr>
      </w:pPr>
      <w:r>
        <w:rPr>
          <w:rFonts w:ascii="宋体" w:hAnsi="宋体"/>
          <w:color w:val="auto"/>
          <w:sz w:val="28"/>
          <w:szCs w:val="28"/>
          <w:highlight w:val="none"/>
        </w:rPr>
        <w:t>1.6</w:t>
      </w:r>
      <w:r>
        <w:rPr>
          <w:rFonts w:hint="eastAsia" w:ascii="宋体" w:hAnsi="宋体"/>
          <w:color w:val="auto"/>
          <w:sz w:val="28"/>
          <w:szCs w:val="28"/>
          <w:highlight w:val="none"/>
        </w:rPr>
        <w:t>知识产权和保密</w:t>
      </w:r>
    </w:p>
    <w:p>
      <w:pPr>
        <w:spacing w:before="120" w:line="360" w:lineRule="auto"/>
        <w:ind w:firstLine="403" w:firstLineChars="192"/>
        <w:rPr>
          <w:rFonts w:ascii="宋体" w:hAnsi="宋体"/>
          <w:color w:val="auto"/>
          <w:szCs w:val="21"/>
          <w:highlight w:val="none"/>
        </w:rPr>
      </w:pPr>
      <w:r>
        <w:rPr>
          <w:rFonts w:ascii="宋体" w:hAnsi="宋体"/>
          <w:color w:val="auto"/>
          <w:szCs w:val="21"/>
          <w:highlight w:val="none"/>
        </w:rPr>
        <w:t>1.6.1构成本招标文件各个组成部分的文件，未经采购人书面同意，投标人不得擅自复印和用于非本招标项目所需的其他目的。采购人全部或者部分使用未中标人投标文件中的技术成果或技术方案时，需征得其书面同意，并不得擅自复印或提供给第三人。</w:t>
      </w:r>
    </w:p>
    <w:p>
      <w:pPr>
        <w:spacing w:line="360" w:lineRule="auto"/>
        <w:ind w:firstLine="403" w:firstLineChars="192"/>
        <w:rPr>
          <w:rFonts w:ascii="宋体" w:hAnsi="宋体"/>
          <w:color w:val="auto"/>
          <w:szCs w:val="21"/>
          <w:highlight w:val="none"/>
        </w:rPr>
      </w:pPr>
      <w:r>
        <w:rPr>
          <w:rFonts w:ascii="宋体" w:hAnsi="宋体"/>
          <w:color w:val="auto"/>
          <w:szCs w:val="21"/>
          <w:highlight w:val="none"/>
        </w:rPr>
        <w:t>1.6.2</w:t>
      </w:r>
      <w:r>
        <w:rPr>
          <w:rFonts w:hint="eastAsia" w:ascii="宋体" w:hAnsi="宋体"/>
          <w:color w:val="auto"/>
          <w:szCs w:val="21"/>
          <w:highlight w:val="none"/>
        </w:rPr>
        <w:t>参与招标投标活动的各方应对招标文件和投标文件中的商业和技术等秘密保密，违者应对由此造成的后果承担法律责任。</w:t>
      </w:r>
    </w:p>
    <w:p>
      <w:pPr>
        <w:spacing w:line="360" w:lineRule="auto"/>
        <w:rPr>
          <w:rFonts w:ascii="宋体" w:hAnsi="宋体"/>
          <w:color w:val="auto"/>
          <w:sz w:val="28"/>
          <w:szCs w:val="28"/>
          <w:highlight w:val="none"/>
        </w:rPr>
      </w:pPr>
      <w:r>
        <w:rPr>
          <w:rFonts w:ascii="宋体" w:hAnsi="宋体"/>
          <w:color w:val="auto"/>
          <w:sz w:val="28"/>
          <w:szCs w:val="28"/>
          <w:highlight w:val="none"/>
        </w:rPr>
        <w:t>1.7</w:t>
      </w:r>
      <w:r>
        <w:rPr>
          <w:rFonts w:hint="eastAsia" w:ascii="宋体" w:hAnsi="宋体"/>
          <w:color w:val="auto"/>
          <w:sz w:val="28"/>
          <w:szCs w:val="28"/>
          <w:highlight w:val="none"/>
        </w:rPr>
        <w:t>语言文字</w:t>
      </w:r>
    </w:p>
    <w:p>
      <w:pPr>
        <w:spacing w:line="360" w:lineRule="auto"/>
        <w:ind w:firstLine="403" w:firstLineChars="192"/>
        <w:rPr>
          <w:rFonts w:ascii="宋体" w:hAnsi="宋体"/>
          <w:color w:val="auto"/>
          <w:szCs w:val="21"/>
          <w:highlight w:val="none"/>
        </w:rPr>
      </w:pPr>
      <w:r>
        <w:rPr>
          <w:rFonts w:hint="eastAsia" w:ascii="宋体" w:hAnsi="宋体"/>
          <w:color w:val="auto"/>
          <w:szCs w:val="21"/>
          <w:highlight w:val="none"/>
        </w:rPr>
        <w:t>除专用术语外，与招标投标有关的语言均使用中文。必要时专用术语应附有中文注释。</w:t>
      </w:r>
    </w:p>
    <w:p>
      <w:pPr>
        <w:spacing w:line="360" w:lineRule="auto"/>
        <w:rPr>
          <w:rFonts w:ascii="宋体" w:hAnsi="宋体"/>
          <w:color w:val="auto"/>
          <w:sz w:val="28"/>
          <w:szCs w:val="28"/>
          <w:highlight w:val="none"/>
        </w:rPr>
      </w:pPr>
      <w:r>
        <w:rPr>
          <w:rFonts w:ascii="宋体" w:hAnsi="宋体"/>
          <w:color w:val="auto"/>
          <w:sz w:val="28"/>
          <w:szCs w:val="28"/>
          <w:highlight w:val="none"/>
        </w:rPr>
        <w:t>1.8</w:t>
      </w:r>
      <w:r>
        <w:rPr>
          <w:rFonts w:hint="eastAsia" w:ascii="宋体" w:hAnsi="宋体"/>
          <w:color w:val="auto"/>
          <w:sz w:val="28"/>
          <w:szCs w:val="28"/>
          <w:highlight w:val="none"/>
        </w:rPr>
        <w:t>计量单位</w:t>
      </w:r>
    </w:p>
    <w:p>
      <w:pPr>
        <w:spacing w:line="360" w:lineRule="auto"/>
        <w:ind w:firstLine="403" w:firstLineChars="192"/>
        <w:rPr>
          <w:rFonts w:ascii="宋体" w:hAnsi="宋体"/>
          <w:color w:val="auto"/>
          <w:szCs w:val="21"/>
          <w:highlight w:val="none"/>
        </w:rPr>
      </w:pPr>
      <w:r>
        <w:rPr>
          <w:rFonts w:hint="eastAsia" w:ascii="宋体" w:hAnsi="宋体"/>
          <w:color w:val="auto"/>
          <w:szCs w:val="21"/>
          <w:highlight w:val="none"/>
        </w:rPr>
        <w:t>所有计量均采用中华人民共和国法定计量单位。</w:t>
      </w:r>
    </w:p>
    <w:p>
      <w:pPr>
        <w:spacing w:line="360" w:lineRule="auto"/>
        <w:rPr>
          <w:rFonts w:ascii="宋体" w:hAnsi="宋体"/>
          <w:color w:val="auto"/>
          <w:sz w:val="28"/>
          <w:szCs w:val="28"/>
          <w:highlight w:val="none"/>
        </w:rPr>
      </w:pPr>
      <w:r>
        <w:rPr>
          <w:rFonts w:ascii="宋体" w:hAnsi="宋体"/>
          <w:color w:val="auto"/>
          <w:sz w:val="28"/>
          <w:szCs w:val="28"/>
          <w:highlight w:val="none"/>
        </w:rPr>
        <w:t>1.9</w:t>
      </w:r>
      <w:r>
        <w:rPr>
          <w:rFonts w:hint="eastAsia" w:ascii="宋体" w:hAnsi="宋体"/>
          <w:color w:val="auto"/>
          <w:sz w:val="28"/>
          <w:szCs w:val="28"/>
          <w:highlight w:val="none"/>
        </w:rPr>
        <w:t>踏勘现场</w:t>
      </w:r>
    </w:p>
    <w:p>
      <w:pPr>
        <w:spacing w:line="360" w:lineRule="auto"/>
        <w:ind w:firstLine="403" w:firstLineChars="192"/>
        <w:rPr>
          <w:rFonts w:ascii="宋体" w:hAnsi="宋体"/>
          <w:color w:val="auto"/>
          <w:szCs w:val="21"/>
          <w:highlight w:val="none"/>
        </w:rPr>
      </w:pPr>
      <w:r>
        <w:rPr>
          <w:rFonts w:ascii="宋体" w:hAnsi="宋体"/>
          <w:color w:val="auto"/>
          <w:szCs w:val="21"/>
          <w:highlight w:val="none"/>
        </w:rPr>
        <w:t>1.9.1</w:t>
      </w:r>
      <w:r>
        <w:rPr>
          <w:rFonts w:hint="eastAsia" w:ascii="宋体" w:hAnsi="宋体"/>
          <w:color w:val="auto"/>
          <w:szCs w:val="21"/>
          <w:highlight w:val="none"/>
        </w:rPr>
        <w:t>投标人须知前附表规定组织踏勘现场的，投标人应按投标人须知前附表规定的踏勘时间、踏勘集中地点参加采购人组织的项目现场踏勘。</w:t>
      </w:r>
    </w:p>
    <w:p>
      <w:pPr>
        <w:spacing w:line="360" w:lineRule="auto"/>
        <w:ind w:firstLine="403" w:firstLineChars="192"/>
        <w:rPr>
          <w:rFonts w:ascii="宋体" w:hAnsi="宋体"/>
          <w:color w:val="auto"/>
          <w:szCs w:val="21"/>
          <w:highlight w:val="none"/>
        </w:rPr>
      </w:pPr>
      <w:r>
        <w:rPr>
          <w:rFonts w:ascii="宋体" w:hAnsi="宋体"/>
          <w:color w:val="auto"/>
          <w:szCs w:val="21"/>
          <w:highlight w:val="none"/>
        </w:rPr>
        <w:t>1.9.2</w:t>
      </w:r>
      <w:r>
        <w:rPr>
          <w:rFonts w:hint="eastAsia" w:ascii="宋体" w:hAnsi="宋体"/>
          <w:color w:val="auto"/>
          <w:szCs w:val="21"/>
          <w:highlight w:val="none"/>
        </w:rPr>
        <w:t>投标人踏勘现场发生的费用自理。</w:t>
      </w:r>
    </w:p>
    <w:p>
      <w:pPr>
        <w:spacing w:line="360" w:lineRule="auto"/>
        <w:ind w:firstLine="403" w:firstLineChars="192"/>
        <w:rPr>
          <w:rFonts w:ascii="宋体" w:hAnsi="宋体"/>
          <w:color w:val="auto"/>
          <w:szCs w:val="21"/>
          <w:highlight w:val="none"/>
        </w:rPr>
      </w:pPr>
      <w:r>
        <w:rPr>
          <w:rFonts w:ascii="宋体" w:hAnsi="宋体"/>
          <w:color w:val="auto"/>
          <w:szCs w:val="21"/>
          <w:highlight w:val="none"/>
        </w:rPr>
        <w:t>1.9.3除采购人的原因外，投标人自行负责在踏勘现场中所发生的人员伤亡和财产损失。</w:t>
      </w:r>
    </w:p>
    <w:p>
      <w:pPr>
        <w:spacing w:line="360" w:lineRule="auto"/>
        <w:ind w:firstLine="403" w:firstLineChars="192"/>
        <w:rPr>
          <w:rFonts w:ascii="宋体" w:hAnsi="宋体"/>
          <w:color w:val="auto"/>
          <w:szCs w:val="21"/>
          <w:highlight w:val="none"/>
        </w:rPr>
      </w:pPr>
      <w:r>
        <w:rPr>
          <w:rFonts w:ascii="宋体" w:hAnsi="宋体"/>
          <w:color w:val="auto"/>
          <w:szCs w:val="21"/>
          <w:highlight w:val="none"/>
        </w:rPr>
        <w:t>1.9.4采购人在踏勘现场中介绍的工程场地和相关的周边环境情况，仅供投标人在编制投标文件时参考，采购人不对投标人据此</w:t>
      </w:r>
      <w:r>
        <w:rPr>
          <w:rFonts w:hint="eastAsia" w:ascii="宋体" w:hAnsi="宋体"/>
          <w:color w:val="auto"/>
          <w:szCs w:val="21"/>
          <w:highlight w:val="none"/>
        </w:rPr>
        <w:t>作出的判断和决策负责。</w:t>
      </w:r>
    </w:p>
    <w:p>
      <w:pPr>
        <w:spacing w:line="360" w:lineRule="auto"/>
        <w:rPr>
          <w:rFonts w:ascii="宋体" w:hAnsi="宋体"/>
          <w:color w:val="auto"/>
          <w:sz w:val="28"/>
          <w:szCs w:val="28"/>
          <w:highlight w:val="none"/>
        </w:rPr>
      </w:pPr>
      <w:r>
        <w:rPr>
          <w:rFonts w:ascii="宋体" w:hAnsi="宋体"/>
          <w:color w:val="auto"/>
          <w:sz w:val="28"/>
          <w:szCs w:val="28"/>
          <w:highlight w:val="none"/>
        </w:rPr>
        <w:t>1.10</w:t>
      </w:r>
      <w:r>
        <w:rPr>
          <w:rFonts w:hint="eastAsia" w:ascii="宋体" w:hAnsi="宋体"/>
          <w:color w:val="auto"/>
          <w:sz w:val="28"/>
          <w:szCs w:val="28"/>
          <w:highlight w:val="none"/>
        </w:rPr>
        <w:t>投标预备会</w:t>
      </w:r>
    </w:p>
    <w:p>
      <w:pPr>
        <w:spacing w:line="360" w:lineRule="auto"/>
        <w:ind w:firstLine="403" w:firstLineChars="192"/>
        <w:rPr>
          <w:rFonts w:ascii="宋体" w:hAnsi="宋体"/>
          <w:color w:val="auto"/>
          <w:szCs w:val="21"/>
          <w:highlight w:val="none"/>
        </w:rPr>
      </w:pPr>
      <w:r>
        <w:rPr>
          <w:rFonts w:ascii="宋体" w:hAnsi="宋体"/>
          <w:color w:val="auto"/>
          <w:szCs w:val="21"/>
          <w:highlight w:val="none"/>
        </w:rPr>
        <w:t>1.10.1</w:t>
      </w:r>
      <w:r>
        <w:rPr>
          <w:rFonts w:hint="eastAsia" w:ascii="宋体" w:hAnsi="宋体"/>
          <w:color w:val="auto"/>
          <w:szCs w:val="21"/>
          <w:highlight w:val="none"/>
        </w:rPr>
        <w:t>投标人须知前附表规定召开投标预备会的，投标人应按投标人须知前附表规定的召开时间和召开地点参加投标预备会。</w:t>
      </w:r>
    </w:p>
    <w:p>
      <w:pPr>
        <w:spacing w:line="360" w:lineRule="auto"/>
        <w:ind w:firstLine="403" w:firstLineChars="192"/>
        <w:rPr>
          <w:rFonts w:ascii="宋体" w:hAnsi="宋体"/>
          <w:color w:val="auto"/>
          <w:szCs w:val="21"/>
          <w:highlight w:val="none"/>
        </w:rPr>
      </w:pPr>
      <w:r>
        <w:rPr>
          <w:rFonts w:ascii="宋体" w:hAnsi="宋体"/>
          <w:color w:val="auto"/>
          <w:szCs w:val="21"/>
          <w:highlight w:val="none"/>
        </w:rPr>
        <w:t>1.10.2</w:t>
      </w:r>
      <w:r>
        <w:rPr>
          <w:rFonts w:hint="eastAsia" w:ascii="宋体" w:hAnsi="宋体"/>
          <w:color w:val="auto"/>
          <w:szCs w:val="21"/>
          <w:highlight w:val="none"/>
        </w:rPr>
        <w:t>投标人应仔细阅读和检查招标文件的全部内容。如发现缺页或附件不全，应及时向采购人提出，以便补齐。如有疑问，投标人应在投标人须知前附表规定的投标人提出问题的截止时间前，以书面形式（包括信函、传真等）将提出的问题送达采购人或采购代理机构，以便采购人在会议期间澄清、解答。</w:t>
      </w:r>
    </w:p>
    <w:p>
      <w:pPr>
        <w:spacing w:line="360" w:lineRule="auto"/>
        <w:ind w:firstLine="403" w:firstLineChars="192"/>
        <w:rPr>
          <w:rFonts w:ascii="宋体" w:hAnsi="宋体"/>
          <w:color w:val="auto"/>
          <w:szCs w:val="21"/>
          <w:highlight w:val="none"/>
        </w:rPr>
      </w:pPr>
      <w:r>
        <w:rPr>
          <w:rFonts w:ascii="宋体" w:hAnsi="宋体"/>
          <w:color w:val="auto"/>
          <w:szCs w:val="21"/>
          <w:highlight w:val="none"/>
        </w:rPr>
        <w:t>1.10.3</w:t>
      </w:r>
      <w:r>
        <w:rPr>
          <w:rFonts w:hint="eastAsia" w:ascii="宋体" w:hAnsi="宋体"/>
          <w:color w:val="auto"/>
          <w:szCs w:val="21"/>
          <w:highlight w:val="none"/>
        </w:rPr>
        <w:t>投标预备会后，招标文件的澄清将被作为补充招标文件在投标人须知前附表规定的补充招标文件发出的时间，由投标人按照投标人须知前附表写明的方式自行获取，如因投标人原因未及时领取，由投标人自行承担。如果补充招标文件发出的时间距投标人须知前附表规定的投标截止时间不足</w:t>
      </w:r>
      <w:r>
        <w:rPr>
          <w:rFonts w:ascii="宋体" w:hAnsi="宋体"/>
          <w:color w:val="auto"/>
          <w:szCs w:val="21"/>
          <w:highlight w:val="none"/>
        </w:rPr>
        <w:t>15</w:t>
      </w:r>
      <w:r>
        <w:rPr>
          <w:rFonts w:hint="eastAsia" w:ascii="宋体" w:hAnsi="宋体"/>
          <w:color w:val="auto"/>
          <w:szCs w:val="21"/>
          <w:highlight w:val="none"/>
        </w:rPr>
        <w:t>天，则采购人相应延长投标截止时间。具体延长的投标截止时间应以补充招标文件载明的为准。</w:t>
      </w:r>
    </w:p>
    <w:p>
      <w:pPr>
        <w:spacing w:line="360" w:lineRule="auto"/>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1.11.</w:t>
      </w:r>
      <w:r>
        <w:rPr>
          <w:rFonts w:hint="eastAsia" w:asciiTheme="minorEastAsia" w:hAnsiTheme="minorEastAsia" w:eastAsiaTheme="minorEastAsia"/>
          <w:color w:val="auto"/>
          <w:sz w:val="28"/>
          <w:szCs w:val="28"/>
          <w:highlight w:val="none"/>
        </w:rPr>
        <w:t>分包</w:t>
      </w:r>
    </w:p>
    <w:p>
      <w:pPr>
        <w:spacing w:line="360" w:lineRule="auto"/>
        <w:ind w:firstLine="403" w:firstLineChars="19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1.11.1专业工程暂估价具体内容及暂估价见招标文件第五章“工程量清单”中“专业工程暂估价表”。投标人中标后，应按照合同约定，和采购人共同依法确定专业分包人。</w:t>
      </w:r>
    </w:p>
    <w:p>
      <w:pPr>
        <w:spacing w:line="360" w:lineRule="auto"/>
        <w:ind w:firstLine="403" w:firstLineChars="19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1.11.2投标人拟在中标后，对本章第1.11.1项所指的工作以外的其他中标人自行施工范围内非主体、非关键性工作进行分包的，应按招标文件第八章“投标文件格式”中“拟分包计划表”的格式及要求，明确载明拟分包内容和拟选分包人名称、资质、业绩等内容。</w:t>
      </w:r>
    </w:p>
    <w:p>
      <w:pPr>
        <w:spacing w:line="360" w:lineRule="auto"/>
        <w:rPr>
          <w:rFonts w:ascii="宋体" w:hAnsi="宋体"/>
          <w:color w:val="auto"/>
          <w:sz w:val="28"/>
          <w:szCs w:val="28"/>
          <w:highlight w:val="none"/>
        </w:rPr>
      </w:pPr>
      <w:r>
        <w:rPr>
          <w:rFonts w:ascii="宋体" w:hAnsi="宋体"/>
          <w:color w:val="auto"/>
          <w:sz w:val="28"/>
          <w:szCs w:val="28"/>
          <w:highlight w:val="none"/>
        </w:rPr>
        <w:t>1.1</w:t>
      </w:r>
      <w:r>
        <w:rPr>
          <w:rFonts w:hint="eastAsia" w:ascii="宋体" w:hAnsi="宋体"/>
          <w:color w:val="auto"/>
          <w:sz w:val="28"/>
          <w:szCs w:val="28"/>
          <w:highlight w:val="none"/>
        </w:rPr>
        <w:t>2偏离</w:t>
      </w:r>
    </w:p>
    <w:p>
      <w:pPr>
        <w:spacing w:line="360" w:lineRule="auto"/>
        <w:ind w:firstLine="403" w:firstLineChars="192"/>
        <w:rPr>
          <w:rFonts w:ascii="宋体" w:hAnsi="宋体"/>
          <w:color w:val="auto"/>
          <w:szCs w:val="21"/>
          <w:highlight w:val="none"/>
        </w:rPr>
      </w:pPr>
      <w:r>
        <w:rPr>
          <w:rFonts w:hint="eastAsia" w:ascii="宋体" w:hAnsi="宋体"/>
          <w:color w:val="auto"/>
          <w:szCs w:val="21"/>
          <w:highlight w:val="none"/>
        </w:rPr>
        <w:t>投标文件的所有内容均应满足招标文件中规定的实质性要求和条件；投标人在投标招标文件实质性要求和条件的基础上，可以在投标函及投标函附录中作出其他更有利于采购人的承诺。</w:t>
      </w:r>
    </w:p>
    <w:p>
      <w:pPr>
        <w:spacing w:before="120" w:line="360" w:lineRule="auto"/>
        <w:rPr>
          <w:rFonts w:ascii="宋体" w:hAnsi="宋体"/>
          <w:color w:val="auto"/>
          <w:sz w:val="28"/>
          <w:szCs w:val="28"/>
          <w:highlight w:val="none"/>
        </w:rPr>
      </w:pPr>
      <w:r>
        <w:rPr>
          <w:rFonts w:ascii="宋体" w:hAnsi="宋体"/>
          <w:color w:val="auto"/>
          <w:sz w:val="28"/>
          <w:szCs w:val="28"/>
          <w:highlight w:val="none"/>
        </w:rPr>
        <w:t>1.1</w:t>
      </w:r>
      <w:r>
        <w:rPr>
          <w:rFonts w:hint="eastAsia" w:ascii="宋体" w:hAnsi="宋体"/>
          <w:color w:val="auto"/>
          <w:sz w:val="28"/>
          <w:szCs w:val="28"/>
          <w:highlight w:val="none"/>
        </w:rPr>
        <w:t>3</w:t>
      </w:r>
      <w:r>
        <w:rPr>
          <w:rFonts w:ascii="宋体" w:hAnsi="宋体"/>
          <w:color w:val="auto"/>
          <w:sz w:val="28"/>
          <w:szCs w:val="28"/>
          <w:highlight w:val="none"/>
        </w:rPr>
        <w:t xml:space="preserve"> </w:t>
      </w:r>
      <w:r>
        <w:rPr>
          <w:rFonts w:hint="eastAsia" w:ascii="宋体" w:hAnsi="宋体"/>
          <w:color w:val="auto"/>
          <w:sz w:val="28"/>
          <w:szCs w:val="28"/>
          <w:highlight w:val="none"/>
        </w:rPr>
        <w:t>同义词语</w:t>
      </w:r>
    </w:p>
    <w:p>
      <w:pPr>
        <w:spacing w:line="360" w:lineRule="auto"/>
        <w:ind w:firstLine="403" w:firstLineChars="192"/>
        <w:rPr>
          <w:rFonts w:ascii="宋体" w:hAnsi="宋体"/>
          <w:color w:val="auto"/>
          <w:szCs w:val="21"/>
          <w:highlight w:val="none"/>
        </w:rPr>
      </w:pPr>
      <w:r>
        <w:rPr>
          <w:rFonts w:hint="eastAsia" w:ascii="宋体" w:hAnsi="宋体"/>
          <w:color w:val="auto"/>
          <w:szCs w:val="21"/>
          <w:highlight w:val="none"/>
        </w:rPr>
        <w:t>构成招标文件组成部分的“合同条款及格式”、“工程量清单”和“技术标准和要求”等章节中出现的措辞“发包人”和“承包人”、“中标人”，在招标投标阶段应当分别按“采购人”和“投标人”进行理解。</w:t>
      </w:r>
    </w:p>
    <w:p>
      <w:pPr>
        <w:pStyle w:val="3"/>
        <w:keepNext w:val="0"/>
        <w:keepLines w:val="0"/>
        <w:spacing w:line="360" w:lineRule="auto"/>
        <w:rPr>
          <w:rFonts w:ascii="宋体" w:hAnsi="宋体" w:eastAsia="宋体"/>
          <w:b w:val="0"/>
          <w:color w:val="auto"/>
          <w:sz w:val="30"/>
          <w:szCs w:val="30"/>
          <w:highlight w:val="none"/>
        </w:rPr>
      </w:pPr>
      <w:bookmarkStart w:id="27" w:name="_Toc448129430"/>
      <w:bookmarkStart w:id="28" w:name="_Toc503862607"/>
      <w:bookmarkStart w:id="29" w:name="_Toc509328905"/>
      <w:bookmarkStart w:id="30" w:name="_Toc466881189"/>
      <w:bookmarkStart w:id="31" w:name="_Toc18069"/>
      <w:r>
        <w:rPr>
          <w:rFonts w:ascii="宋体" w:hAnsi="宋体" w:eastAsia="宋体"/>
          <w:b w:val="0"/>
          <w:color w:val="auto"/>
          <w:sz w:val="30"/>
          <w:szCs w:val="30"/>
          <w:highlight w:val="none"/>
        </w:rPr>
        <w:t>2．招标文件</w:t>
      </w:r>
      <w:bookmarkEnd w:id="27"/>
      <w:bookmarkEnd w:id="28"/>
      <w:bookmarkEnd w:id="29"/>
      <w:bookmarkEnd w:id="30"/>
      <w:bookmarkEnd w:id="31"/>
    </w:p>
    <w:p>
      <w:pPr>
        <w:spacing w:line="360" w:lineRule="auto"/>
        <w:rPr>
          <w:rFonts w:ascii="宋体" w:hAnsi="宋体"/>
          <w:color w:val="auto"/>
          <w:sz w:val="28"/>
          <w:szCs w:val="28"/>
          <w:highlight w:val="none"/>
        </w:rPr>
      </w:pPr>
      <w:r>
        <w:rPr>
          <w:rFonts w:ascii="宋体" w:hAnsi="宋体"/>
          <w:color w:val="auto"/>
          <w:sz w:val="28"/>
          <w:szCs w:val="28"/>
          <w:highlight w:val="none"/>
        </w:rPr>
        <w:t>2.1</w:t>
      </w:r>
      <w:r>
        <w:rPr>
          <w:rFonts w:hint="eastAsia" w:ascii="宋体" w:hAnsi="宋体"/>
          <w:color w:val="auto"/>
          <w:sz w:val="28"/>
          <w:szCs w:val="28"/>
          <w:highlight w:val="none"/>
        </w:rPr>
        <w:t>招标文件的组成</w:t>
      </w:r>
    </w:p>
    <w:p>
      <w:pPr>
        <w:spacing w:line="360" w:lineRule="auto"/>
        <w:ind w:firstLine="268" w:firstLineChars="128"/>
        <w:rPr>
          <w:rFonts w:ascii="宋体" w:hAnsi="宋体"/>
          <w:color w:val="auto"/>
          <w:highlight w:val="none"/>
        </w:rPr>
      </w:pPr>
      <w:r>
        <w:rPr>
          <w:rFonts w:ascii="宋体" w:hAnsi="宋体"/>
          <w:color w:val="auto"/>
          <w:highlight w:val="none"/>
        </w:rPr>
        <w:t>2.1.1招标文件包括：</w:t>
      </w:r>
    </w:p>
    <w:p>
      <w:pPr>
        <w:spacing w:line="360" w:lineRule="auto"/>
        <w:ind w:firstLine="268" w:firstLineChars="128"/>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）招标公告；</w:t>
      </w:r>
    </w:p>
    <w:p>
      <w:pPr>
        <w:spacing w:line="360" w:lineRule="auto"/>
        <w:ind w:firstLine="268" w:firstLineChars="128"/>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）投标人须知；</w:t>
      </w:r>
    </w:p>
    <w:p>
      <w:pPr>
        <w:spacing w:line="360" w:lineRule="auto"/>
        <w:ind w:firstLine="268" w:firstLineChars="128"/>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）评标办法；</w:t>
      </w:r>
    </w:p>
    <w:p>
      <w:pPr>
        <w:spacing w:line="360" w:lineRule="auto"/>
        <w:ind w:firstLine="268" w:firstLineChars="128"/>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）合同条款及格式；</w:t>
      </w:r>
    </w:p>
    <w:p>
      <w:pPr>
        <w:spacing w:line="360" w:lineRule="auto"/>
        <w:ind w:firstLine="268" w:firstLineChars="128"/>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）工程量清单；</w:t>
      </w:r>
    </w:p>
    <w:p>
      <w:pPr>
        <w:spacing w:line="360" w:lineRule="auto"/>
        <w:ind w:firstLine="268" w:firstLineChars="128"/>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）技术标准和要求；</w:t>
      </w:r>
    </w:p>
    <w:p>
      <w:pPr>
        <w:spacing w:line="360" w:lineRule="auto"/>
        <w:ind w:firstLine="268" w:firstLineChars="128"/>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7</w:t>
      </w:r>
      <w:r>
        <w:rPr>
          <w:rFonts w:hint="eastAsia" w:ascii="宋体" w:hAnsi="宋体"/>
          <w:color w:val="auto"/>
          <w:szCs w:val="21"/>
          <w:highlight w:val="none"/>
        </w:rPr>
        <w:t>）投标文件格式；</w:t>
      </w:r>
    </w:p>
    <w:p>
      <w:pPr>
        <w:spacing w:line="360" w:lineRule="auto"/>
        <w:ind w:firstLine="268" w:firstLineChars="128"/>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8</w:t>
      </w:r>
      <w:r>
        <w:rPr>
          <w:rFonts w:hint="eastAsia" w:ascii="宋体" w:hAnsi="宋体"/>
          <w:color w:val="auto"/>
          <w:szCs w:val="21"/>
          <w:highlight w:val="none"/>
        </w:rPr>
        <w:t>）投标人须知前附表规定的构成招标文件的其他材料。</w:t>
      </w:r>
    </w:p>
    <w:p>
      <w:pPr>
        <w:spacing w:line="360" w:lineRule="auto"/>
        <w:ind w:firstLine="371" w:firstLineChars="177"/>
        <w:rPr>
          <w:rFonts w:ascii="宋体" w:hAnsi="宋体"/>
          <w:color w:val="auto"/>
          <w:szCs w:val="21"/>
          <w:highlight w:val="none"/>
        </w:rPr>
      </w:pPr>
      <w:r>
        <w:rPr>
          <w:rFonts w:ascii="宋体" w:hAnsi="宋体"/>
          <w:color w:val="auto"/>
          <w:szCs w:val="21"/>
          <w:highlight w:val="none"/>
        </w:rPr>
        <w:t>2.1.2根据本章第1.10</w:t>
      </w:r>
      <w:r>
        <w:rPr>
          <w:rFonts w:hint="eastAsia" w:ascii="宋体" w:hAnsi="宋体"/>
          <w:color w:val="auto"/>
          <w:szCs w:val="21"/>
          <w:highlight w:val="none"/>
        </w:rPr>
        <w:t>款和第</w:t>
      </w:r>
      <w:r>
        <w:rPr>
          <w:rFonts w:ascii="宋体" w:hAnsi="宋体"/>
          <w:color w:val="auto"/>
          <w:szCs w:val="21"/>
          <w:highlight w:val="none"/>
        </w:rPr>
        <w:t>2.3</w:t>
      </w:r>
      <w:r>
        <w:rPr>
          <w:rFonts w:hint="eastAsia" w:ascii="宋体" w:hAnsi="宋体"/>
          <w:color w:val="auto"/>
          <w:szCs w:val="21"/>
          <w:highlight w:val="none"/>
        </w:rPr>
        <w:t>款发出的所有补充招标文件，均构成招标文件的组成部分。</w:t>
      </w:r>
    </w:p>
    <w:p>
      <w:pPr>
        <w:spacing w:line="360" w:lineRule="auto"/>
        <w:rPr>
          <w:rFonts w:ascii="宋体" w:hAnsi="宋体"/>
          <w:color w:val="auto"/>
          <w:sz w:val="28"/>
          <w:szCs w:val="28"/>
          <w:highlight w:val="none"/>
        </w:rPr>
      </w:pPr>
      <w:r>
        <w:rPr>
          <w:rFonts w:ascii="宋体" w:hAnsi="宋体"/>
          <w:color w:val="auto"/>
          <w:sz w:val="28"/>
          <w:szCs w:val="28"/>
          <w:highlight w:val="none"/>
        </w:rPr>
        <w:t>2.2招标文件的解释</w:t>
      </w:r>
    </w:p>
    <w:p>
      <w:pPr>
        <w:spacing w:line="360" w:lineRule="auto"/>
        <w:ind w:firstLine="371" w:firstLineChars="177"/>
        <w:rPr>
          <w:rFonts w:ascii="宋体" w:hAnsi="宋体"/>
          <w:color w:val="auto"/>
          <w:highlight w:val="none"/>
        </w:rPr>
      </w:pPr>
      <w:r>
        <w:rPr>
          <w:rFonts w:ascii="宋体" w:hAnsi="宋体"/>
          <w:bCs/>
          <w:color w:val="auto"/>
          <w:szCs w:val="21"/>
          <w:highlight w:val="none"/>
        </w:rPr>
        <w:t>2.2.1</w:t>
      </w:r>
      <w:r>
        <w:rPr>
          <w:rFonts w:hint="eastAsia" w:ascii="宋体" w:hAnsi="宋体"/>
          <w:color w:val="auto"/>
          <w:highlight w:val="none"/>
        </w:rPr>
        <w:t>构成</w:t>
      </w:r>
      <w:r>
        <w:rPr>
          <w:rFonts w:hint="eastAsia" w:ascii="宋体" w:hAnsi="宋体"/>
          <w:bCs/>
          <w:color w:val="auto"/>
          <w:szCs w:val="21"/>
          <w:highlight w:val="none"/>
        </w:rPr>
        <w:t>本</w:t>
      </w:r>
      <w:r>
        <w:rPr>
          <w:rFonts w:hint="eastAsia" w:ascii="宋体" w:hAnsi="宋体"/>
          <w:color w:val="auto"/>
          <w:highlight w:val="none"/>
        </w:rPr>
        <w:t>招标文件的各个组成文件应互为解释，互为说明；如有不明确或不一致，构成合同文件组成内容，以合同文件约定内容为准，且以专用合同条款约定的合同文件优先顺序解释；除有特别规定外，本招标文件仅适用于招标投标阶段的规定，按招标公告、评标办法、投标人须知、投标文件格式的先后顺序解释。</w:t>
      </w:r>
    </w:p>
    <w:p>
      <w:pPr>
        <w:spacing w:line="360" w:lineRule="auto"/>
        <w:ind w:firstLine="371" w:firstLineChars="177"/>
        <w:rPr>
          <w:rFonts w:ascii="宋体" w:hAnsi="宋体"/>
          <w:color w:val="auto"/>
          <w:highlight w:val="none"/>
        </w:rPr>
      </w:pPr>
      <w:r>
        <w:rPr>
          <w:rFonts w:ascii="宋体" w:hAnsi="宋体"/>
          <w:bCs/>
          <w:color w:val="auto"/>
          <w:szCs w:val="21"/>
          <w:highlight w:val="none"/>
        </w:rPr>
        <w:t>2.2.2</w:t>
      </w:r>
      <w:r>
        <w:rPr>
          <w:rFonts w:hint="eastAsia" w:ascii="宋体" w:hAnsi="宋体"/>
          <w:color w:val="auto"/>
          <w:highlight w:val="none"/>
        </w:rPr>
        <w:t>同一组成文件中就同一事项的规定或约定不一致的，以编排顺序在后者为准；同一组成文件不同版本之间有不一致的，以形成时间在后者为准。</w:t>
      </w:r>
    </w:p>
    <w:p>
      <w:pPr>
        <w:spacing w:line="360" w:lineRule="auto"/>
        <w:ind w:firstLine="371" w:firstLineChars="177"/>
        <w:rPr>
          <w:rFonts w:ascii="宋体" w:hAnsi="宋体"/>
          <w:color w:val="auto"/>
          <w:highlight w:val="none"/>
        </w:rPr>
      </w:pPr>
      <w:r>
        <w:rPr>
          <w:rFonts w:ascii="宋体" w:hAnsi="宋体"/>
          <w:bCs/>
          <w:color w:val="auto"/>
          <w:szCs w:val="21"/>
          <w:highlight w:val="none"/>
        </w:rPr>
        <w:t>2.2.3</w:t>
      </w:r>
      <w:r>
        <w:rPr>
          <w:rFonts w:hint="eastAsia" w:ascii="宋体" w:hAnsi="宋体"/>
          <w:color w:val="auto"/>
          <w:highlight w:val="none"/>
        </w:rPr>
        <w:t>按本章第</w:t>
      </w:r>
      <w:r>
        <w:rPr>
          <w:rFonts w:ascii="宋体" w:hAnsi="宋体"/>
          <w:color w:val="auto"/>
          <w:highlight w:val="none"/>
        </w:rPr>
        <w:t>2.2.1</w:t>
      </w:r>
      <w:r>
        <w:rPr>
          <w:rFonts w:hint="eastAsia" w:ascii="宋体" w:hAnsi="宋体"/>
          <w:color w:val="auto"/>
          <w:highlight w:val="none"/>
        </w:rPr>
        <w:t>项、第</w:t>
      </w:r>
      <w:r>
        <w:rPr>
          <w:rFonts w:ascii="宋体" w:hAnsi="宋体"/>
          <w:color w:val="auto"/>
          <w:highlight w:val="none"/>
        </w:rPr>
        <w:t>2.2.2</w:t>
      </w:r>
      <w:r>
        <w:rPr>
          <w:rFonts w:hint="eastAsia" w:ascii="宋体" w:hAnsi="宋体"/>
          <w:color w:val="auto"/>
          <w:highlight w:val="none"/>
        </w:rPr>
        <w:t>项规定仍不能形成结论的，由采购人负责解释。</w:t>
      </w:r>
    </w:p>
    <w:p>
      <w:pPr>
        <w:spacing w:line="360" w:lineRule="auto"/>
        <w:rPr>
          <w:rFonts w:ascii="宋体" w:hAnsi="宋体"/>
          <w:color w:val="auto"/>
          <w:sz w:val="28"/>
          <w:szCs w:val="28"/>
          <w:highlight w:val="none"/>
        </w:rPr>
      </w:pPr>
      <w:r>
        <w:rPr>
          <w:rFonts w:ascii="宋体" w:hAnsi="宋体"/>
          <w:color w:val="auto"/>
          <w:sz w:val="28"/>
          <w:szCs w:val="28"/>
          <w:highlight w:val="none"/>
        </w:rPr>
        <w:t>2.3招标文件的修改</w:t>
      </w:r>
    </w:p>
    <w:p>
      <w:pPr>
        <w:spacing w:line="360" w:lineRule="auto"/>
        <w:ind w:firstLine="371" w:firstLineChars="177"/>
        <w:rPr>
          <w:rFonts w:ascii="宋体" w:hAnsi="宋体"/>
          <w:color w:val="auto"/>
          <w:szCs w:val="21"/>
          <w:highlight w:val="none"/>
        </w:rPr>
      </w:pPr>
      <w:r>
        <w:rPr>
          <w:rFonts w:ascii="宋体" w:hAnsi="宋体"/>
          <w:color w:val="auto"/>
          <w:szCs w:val="21"/>
          <w:highlight w:val="none"/>
        </w:rPr>
        <w:t>2.3.1</w:t>
      </w:r>
      <w:r>
        <w:rPr>
          <w:rFonts w:hint="eastAsia" w:ascii="宋体" w:hAnsi="宋体"/>
          <w:color w:val="auto"/>
          <w:szCs w:val="21"/>
          <w:highlight w:val="none"/>
        </w:rPr>
        <w:t>在投标截止时间</w:t>
      </w:r>
      <w:r>
        <w:rPr>
          <w:rFonts w:ascii="宋体" w:hAnsi="宋体"/>
          <w:color w:val="auto"/>
          <w:szCs w:val="21"/>
          <w:highlight w:val="none"/>
        </w:rPr>
        <w:t>15</w:t>
      </w:r>
      <w:r>
        <w:rPr>
          <w:rFonts w:hint="eastAsia" w:ascii="宋体" w:hAnsi="宋体"/>
          <w:color w:val="auto"/>
          <w:szCs w:val="21"/>
          <w:highlight w:val="none"/>
        </w:rPr>
        <w:t>天前，采购人可以书面形式修改招标文件，并作为补充招标文件发放给所有已购买招标文件的投标人。如果修改招标文件的时间距投标截止时间不足</w:t>
      </w:r>
      <w:r>
        <w:rPr>
          <w:rFonts w:ascii="宋体" w:hAnsi="宋体"/>
          <w:color w:val="auto"/>
          <w:szCs w:val="21"/>
          <w:highlight w:val="none"/>
        </w:rPr>
        <w:t>15</w:t>
      </w:r>
      <w:r>
        <w:rPr>
          <w:rFonts w:hint="eastAsia" w:ascii="宋体" w:hAnsi="宋体"/>
          <w:color w:val="auto"/>
          <w:szCs w:val="21"/>
          <w:highlight w:val="none"/>
        </w:rPr>
        <w:t>天，则相应延长投标截止时间。</w:t>
      </w:r>
    </w:p>
    <w:p>
      <w:pPr>
        <w:spacing w:line="360" w:lineRule="auto"/>
        <w:ind w:firstLine="420" w:firstLineChars="200"/>
        <w:jc w:val="left"/>
        <w:rPr>
          <w:rFonts w:ascii="宋体" w:hAnsi="宋体"/>
          <w:color w:val="auto"/>
          <w:szCs w:val="21"/>
          <w:highlight w:val="none"/>
          <w:shd w:val="clear" w:color="auto" w:fill="FFFFFF"/>
        </w:rPr>
      </w:pPr>
      <w:bookmarkStart w:id="32" w:name="_Toc448129431"/>
      <w:bookmarkStart w:id="33" w:name="_Toc24901"/>
      <w:bookmarkStart w:id="34" w:name="_Toc509328906"/>
      <w:bookmarkStart w:id="35" w:name="_Toc466881190"/>
      <w:bookmarkStart w:id="36" w:name="_Toc503862608"/>
      <w:r>
        <w:rPr>
          <w:rFonts w:ascii="宋体" w:hAnsi="宋体"/>
          <w:color w:val="auto"/>
          <w:szCs w:val="21"/>
          <w:highlight w:val="none"/>
        </w:rPr>
        <w:t>2.3.</w:t>
      </w:r>
      <w:r>
        <w:rPr>
          <w:rFonts w:ascii="宋体" w:hAnsi="宋体"/>
          <w:color w:val="auto"/>
          <w:szCs w:val="21"/>
          <w:highlight w:val="none"/>
          <w:shd w:val="clear" w:color="auto" w:fill="FFFFFF"/>
        </w:rPr>
        <w:t>2 该澄清或者修改的内容将作为</w:t>
      </w:r>
      <w:r>
        <w:rPr>
          <w:rFonts w:hint="eastAsia" w:ascii="宋体" w:hAnsi="宋体"/>
          <w:color w:val="auto"/>
          <w:szCs w:val="21"/>
          <w:highlight w:val="none"/>
          <w:shd w:val="clear" w:color="auto" w:fill="FFFFFF"/>
        </w:rPr>
        <w:t>招标</w:t>
      </w:r>
      <w:r>
        <w:rPr>
          <w:rFonts w:ascii="宋体" w:hAnsi="宋体"/>
          <w:color w:val="auto"/>
          <w:szCs w:val="21"/>
          <w:highlight w:val="none"/>
          <w:shd w:val="clear" w:color="auto" w:fill="FFFFFF"/>
        </w:rPr>
        <w:t>文件的组成部分，对双方均具有约束力；</w:t>
      </w:r>
      <w:r>
        <w:rPr>
          <w:rFonts w:hint="eastAsia" w:ascii="宋体" w:hAnsi="宋体"/>
          <w:color w:val="auto"/>
          <w:szCs w:val="21"/>
          <w:highlight w:val="none"/>
          <w:shd w:val="clear" w:color="auto" w:fill="FFFFFF"/>
        </w:rPr>
        <w:t>投标人</w:t>
      </w:r>
      <w:r>
        <w:rPr>
          <w:rFonts w:ascii="宋体" w:hAnsi="宋体"/>
          <w:color w:val="auto"/>
          <w:szCs w:val="21"/>
          <w:highlight w:val="none"/>
          <w:shd w:val="clear" w:color="auto" w:fill="FFFFFF"/>
        </w:rPr>
        <w:t>在收到该澄清或者修改内容后，应立即以传真或其他书面形式予以确认。</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2.3.</w:t>
      </w:r>
      <w:r>
        <w:rPr>
          <w:rFonts w:ascii="宋体" w:hAnsi="宋体"/>
          <w:color w:val="auto"/>
          <w:szCs w:val="21"/>
          <w:highlight w:val="none"/>
          <w:shd w:val="clear" w:color="auto" w:fill="FFFFFF"/>
        </w:rPr>
        <w:t xml:space="preserve">3 </w:t>
      </w:r>
      <w:r>
        <w:rPr>
          <w:rFonts w:hint="eastAsia" w:ascii="宋体" w:hAnsi="宋体"/>
          <w:color w:val="auto"/>
          <w:szCs w:val="21"/>
          <w:highlight w:val="none"/>
          <w:shd w:val="clear" w:color="auto" w:fill="FFFFFF"/>
        </w:rPr>
        <w:t>采购代理机构</w:t>
      </w:r>
      <w:r>
        <w:rPr>
          <w:rFonts w:ascii="宋体" w:hAnsi="宋体"/>
          <w:color w:val="auto"/>
          <w:szCs w:val="21"/>
          <w:highlight w:val="none"/>
          <w:shd w:val="clear" w:color="auto" w:fill="FFFFFF"/>
        </w:rPr>
        <w:t>发出的补充文件与原</w:t>
      </w:r>
      <w:r>
        <w:rPr>
          <w:rFonts w:hint="eastAsia" w:ascii="宋体" w:hAnsi="宋体"/>
          <w:color w:val="auto"/>
          <w:szCs w:val="21"/>
          <w:highlight w:val="none"/>
          <w:shd w:val="clear" w:color="auto" w:fill="FFFFFF"/>
        </w:rPr>
        <w:t>招标</w:t>
      </w:r>
      <w:r>
        <w:rPr>
          <w:rFonts w:ascii="宋体" w:hAnsi="宋体"/>
          <w:color w:val="auto"/>
          <w:szCs w:val="21"/>
          <w:highlight w:val="none"/>
          <w:shd w:val="clear" w:color="auto" w:fill="FFFFFF"/>
        </w:rPr>
        <w:t>文件或此前发出的补充文件之间存在不一致时，以最后发出的补充文件为准。</w:t>
      </w:r>
    </w:p>
    <w:p>
      <w:pPr>
        <w:pStyle w:val="3"/>
        <w:keepNext w:val="0"/>
        <w:keepLines w:val="0"/>
        <w:spacing w:line="360" w:lineRule="auto"/>
        <w:rPr>
          <w:rFonts w:ascii="宋体" w:hAnsi="宋体" w:eastAsia="宋体"/>
          <w:b w:val="0"/>
          <w:color w:val="auto"/>
          <w:sz w:val="30"/>
          <w:szCs w:val="30"/>
          <w:highlight w:val="none"/>
        </w:rPr>
      </w:pPr>
      <w:r>
        <w:rPr>
          <w:rFonts w:ascii="宋体" w:hAnsi="宋体" w:eastAsia="宋体"/>
          <w:b w:val="0"/>
          <w:color w:val="auto"/>
          <w:sz w:val="30"/>
          <w:szCs w:val="30"/>
          <w:highlight w:val="none"/>
        </w:rPr>
        <w:t>3．投标文件</w:t>
      </w:r>
      <w:bookmarkEnd w:id="32"/>
      <w:bookmarkEnd w:id="33"/>
      <w:bookmarkEnd w:id="34"/>
      <w:bookmarkEnd w:id="35"/>
      <w:bookmarkEnd w:id="36"/>
    </w:p>
    <w:p>
      <w:pPr>
        <w:spacing w:line="360" w:lineRule="auto"/>
        <w:rPr>
          <w:rFonts w:ascii="宋体" w:hAnsi="宋体"/>
          <w:color w:val="auto"/>
          <w:sz w:val="28"/>
          <w:szCs w:val="28"/>
          <w:highlight w:val="none"/>
        </w:rPr>
      </w:pPr>
      <w:r>
        <w:rPr>
          <w:rFonts w:ascii="宋体" w:hAnsi="宋体"/>
          <w:color w:val="auto"/>
          <w:sz w:val="28"/>
          <w:szCs w:val="28"/>
          <w:highlight w:val="none"/>
        </w:rPr>
        <w:t>3.1</w:t>
      </w:r>
      <w:r>
        <w:rPr>
          <w:rFonts w:hint="eastAsia" w:ascii="宋体" w:hAnsi="宋体"/>
          <w:color w:val="auto"/>
          <w:sz w:val="28"/>
          <w:szCs w:val="28"/>
          <w:highlight w:val="none"/>
        </w:rPr>
        <w:t>投标文件的组成</w:t>
      </w:r>
    </w:p>
    <w:p>
      <w:pPr>
        <w:spacing w:line="360" w:lineRule="auto"/>
        <w:ind w:firstLine="371" w:firstLineChars="177"/>
        <w:rPr>
          <w:rFonts w:ascii="宋体" w:hAnsi="宋体"/>
          <w:color w:val="auto"/>
          <w:szCs w:val="21"/>
          <w:highlight w:val="none"/>
        </w:rPr>
      </w:pPr>
      <w:r>
        <w:rPr>
          <w:rFonts w:ascii="宋体" w:hAnsi="宋体"/>
          <w:color w:val="auto"/>
          <w:szCs w:val="21"/>
          <w:highlight w:val="none"/>
        </w:rPr>
        <w:t xml:space="preserve">3.1.1. </w:t>
      </w:r>
      <w:r>
        <w:rPr>
          <w:rFonts w:hint="eastAsia" w:ascii="宋体" w:hAnsi="宋体"/>
          <w:color w:val="auto"/>
          <w:szCs w:val="21"/>
          <w:highlight w:val="none"/>
        </w:rPr>
        <w:t>商务标</w:t>
      </w:r>
    </w:p>
    <w:p>
      <w:pPr>
        <w:spacing w:line="360" w:lineRule="auto"/>
        <w:ind w:firstLine="371" w:firstLineChars="177"/>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1）投标承诺书；</w:t>
      </w:r>
    </w:p>
    <w:p>
      <w:pPr>
        <w:spacing w:line="360" w:lineRule="auto"/>
        <w:ind w:firstLine="371" w:firstLineChars="177"/>
        <w:rPr>
          <w:rFonts w:ascii="宋体" w:hAnsi="宋体"/>
          <w:color w:val="auto"/>
          <w:szCs w:val="21"/>
          <w:highlight w:val="none"/>
        </w:rPr>
      </w:pPr>
      <w:r>
        <w:rPr>
          <w:rFonts w:hint="eastAsia" w:ascii="宋体" w:hAnsi="宋体"/>
          <w:color w:val="auto"/>
          <w:szCs w:val="21"/>
          <w:highlight w:val="none"/>
        </w:rPr>
        <w:t>投标函；</w:t>
      </w:r>
    </w:p>
    <w:p>
      <w:pPr>
        <w:spacing w:line="360" w:lineRule="auto"/>
        <w:ind w:firstLine="371" w:firstLineChars="177"/>
        <w:rPr>
          <w:rFonts w:ascii="宋体" w:hAnsi="宋体"/>
          <w:color w:val="auto"/>
          <w:szCs w:val="21"/>
          <w:highlight w:val="none"/>
        </w:rPr>
      </w:pPr>
      <w:r>
        <w:rPr>
          <w:rFonts w:hint="eastAsia" w:ascii="宋体" w:hAnsi="宋体"/>
          <w:color w:val="auto"/>
          <w:szCs w:val="21"/>
          <w:highlight w:val="none"/>
        </w:rPr>
        <w:t>投标函附录</w:t>
      </w:r>
      <w:r>
        <w:rPr>
          <w:rFonts w:ascii="宋体" w:hAnsi="宋体"/>
          <w:color w:val="auto"/>
          <w:szCs w:val="21"/>
          <w:highlight w:val="none"/>
        </w:rPr>
        <w:t>A：上海市建设工程施工投标标书情况汇总表；</w:t>
      </w:r>
    </w:p>
    <w:p>
      <w:pPr>
        <w:spacing w:line="360" w:lineRule="auto"/>
        <w:ind w:firstLine="371" w:firstLineChars="177"/>
        <w:rPr>
          <w:rFonts w:ascii="宋体" w:hAnsi="宋体"/>
          <w:color w:val="auto"/>
          <w:szCs w:val="21"/>
          <w:highlight w:val="none"/>
        </w:rPr>
      </w:pPr>
      <w:r>
        <w:rPr>
          <w:rFonts w:hint="eastAsia" w:ascii="宋体" w:hAnsi="宋体"/>
          <w:color w:val="auto"/>
          <w:szCs w:val="21"/>
          <w:highlight w:val="none"/>
        </w:rPr>
        <w:t>投标函附录</w:t>
      </w:r>
      <w:r>
        <w:rPr>
          <w:rFonts w:ascii="宋体" w:hAnsi="宋体"/>
          <w:color w:val="auto"/>
          <w:szCs w:val="21"/>
          <w:highlight w:val="none"/>
        </w:rPr>
        <w:t>B；</w:t>
      </w:r>
    </w:p>
    <w:p>
      <w:pPr>
        <w:spacing w:line="360" w:lineRule="auto"/>
        <w:ind w:firstLine="371" w:firstLineChars="177"/>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2）法定代表人证明；</w:t>
      </w:r>
    </w:p>
    <w:p>
      <w:pPr>
        <w:spacing w:line="360" w:lineRule="auto"/>
        <w:ind w:firstLine="371" w:firstLineChars="177"/>
        <w:rPr>
          <w:rFonts w:ascii="宋体" w:hAnsi="宋体"/>
          <w:color w:val="auto"/>
          <w:szCs w:val="21"/>
          <w:highlight w:val="none"/>
        </w:rPr>
      </w:pPr>
      <w:r>
        <w:rPr>
          <w:rFonts w:hint="eastAsia" w:ascii="宋体" w:hAnsi="宋体"/>
          <w:color w:val="auto"/>
          <w:szCs w:val="21"/>
          <w:highlight w:val="none"/>
        </w:rPr>
        <w:t>法定代表人授权委托书，附委托代理人的身份证明；</w:t>
      </w:r>
    </w:p>
    <w:p>
      <w:pPr>
        <w:spacing w:line="360" w:lineRule="auto"/>
        <w:ind w:firstLine="371" w:firstLineChars="177"/>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已标价工程量清单；</w:t>
      </w:r>
    </w:p>
    <w:p>
      <w:pPr>
        <w:spacing w:line="360" w:lineRule="auto"/>
        <w:ind w:firstLine="371" w:firstLineChars="177"/>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bookmarkStart w:id="37" w:name="_Hlk17881049"/>
      <w:r>
        <w:rPr>
          <w:rFonts w:hint="eastAsia" w:ascii="宋体" w:hAnsi="宋体"/>
          <w:color w:val="auto"/>
          <w:szCs w:val="21"/>
          <w:highlight w:val="none"/>
        </w:rPr>
        <w:t>项目管理机构人员情况表；</w:t>
      </w:r>
      <w:bookmarkEnd w:id="37"/>
    </w:p>
    <w:p>
      <w:pPr>
        <w:spacing w:line="360" w:lineRule="auto"/>
        <w:ind w:firstLine="371" w:firstLineChars="177"/>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5）投标人基本材料；</w:t>
      </w:r>
    </w:p>
    <w:p>
      <w:pPr>
        <w:spacing w:line="360" w:lineRule="auto"/>
        <w:ind w:firstLine="371" w:firstLineChars="177"/>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）投标人须知前附表规定的材料或投标人认为需要补充的其他内容。</w:t>
      </w:r>
    </w:p>
    <w:p>
      <w:pPr>
        <w:spacing w:line="360" w:lineRule="auto"/>
        <w:ind w:firstLine="371" w:firstLineChars="177"/>
        <w:rPr>
          <w:rFonts w:ascii="宋体" w:hAnsi="宋体"/>
          <w:color w:val="auto"/>
          <w:szCs w:val="21"/>
          <w:highlight w:val="none"/>
        </w:rPr>
      </w:pPr>
      <w:r>
        <w:rPr>
          <w:rFonts w:ascii="宋体" w:hAnsi="宋体"/>
          <w:color w:val="auto"/>
          <w:szCs w:val="21"/>
          <w:highlight w:val="none"/>
        </w:rPr>
        <w:t xml:space="preserve">3.1.2 </w:t>
      </w:r>
      <w:r>
        <w:rPr>
          <w:rFonts w:hint="eastAsia" w:ascii="宋体" w:hAnsi="宋体"/>
          <w:color w:val="auto"/>
          <w:szCs w:val="21"/>
          <w:highlight w:val="none"/>
        </w:rPr>
        <w:t>技术标：包括但不仅限于施工组织设计。</w:t>
      </w:r>
    </w:p>
    <w:p>
      <w:pPr>
        <w:spacing w:line="360" w:lineRule="auto"/>
        <w:ind w:firstLine="371" w:firstLineChars="177"/>
        <w:rPr>
          <w:rFonts w:ascii="宋体" w:hAnsi="宋体"/>
          <w:color w:val="auto"/>
          <w:szCs w:val="21"/>
          <w:highlight w:val="none"/>
        </w:rPr>
      </w:pPr>
      <w:r>
        <w:rPr>
          <w:rFonts w:ascii="宋体" w:hAnsi="宋体"/>
          <w:color w:val="auto"/>
          <w:szCs w:val="21"/>
          <w:highlight w:val="none"/>
        </w:rPr>
        <w:t>3.1.3投标文件电子版：投标文件电子版内容见投标人须知前附表。</w:t>
      </w:r>
    </w:p>
    <w:p>
      <w:pPr>
        <w:spacing w:line="360" w:lineRule="auto"/>
        <w:ind w:firstLine="371" w:firstLineChars="177"/>
        <w:rPr>
          <w:rFonts w:ascii="宋体" w:hAnsi="宋体"/>
          <w:color w:val="auto"/>
          <w:szCs w:val="21"/>
          <w:highlight w:val="none"/>
        </w:rPr>
      </w:pPr>
      <w:r>
        <w:rPr>
          <w:rFonts w:ascii="宋体" w:hAnsi="宋体"/>
          <w:color w:val="auto"/>
          <w:szCs w:val="21"/>
          <w:highlight w:val="none"/>
        </w:rPr>
        <w:t>3.1.4投标人须知前附表规定不接受联合体投标的，或投标人没有组成联合体的，投标文件不包括本章第3.1.1(3</w:t>
      </w:r>
      <w:r>
        <w:rPr>
          <w:rFonts w:hint="eastAsia" w:ascii="宋体" w:hAnsi="宋体"/>
          <w:color w:val="auto"/>
          <w:szCs w:val="21"/>
          <w:highlight w:val="none"/>
        </w:rPr>
        <w:t>）目所指的共同投标协议。</w:t>
      </w:r>
    </w:p>
    <w:p>
      <w:pPr>
        <w:spacing w:line="360" w:lineRule="auto"/>
        <w:rPr>
          <w:rFonts w:ascii="宋体" w:hAnsi="宋体"/>
          <w:color w:val="auto"/>
          <w:sz w:val="28"/>
          <w:szCs w:val="28"/>
          <w:highlight w:val="none"/>
        </w:rPr>
      </w:pPr>
      <w:r>
        <w:rPr>
          <w:rFonts w:ascii="宋体" w:hAnsi="宋体"/>
          <w:color w:val="auto"/>
          <w:sz w:val="28"/>
          <w:szCs w:val="28"/>
          <w:highlight w:val="none"/>
        </w:rPr>
        <w:t xml:space="preserve">3.2 </w:t>
      </w:r>
      <w:r>
        <w:rPr>
          <w:rFonts w:hint="eastAsia" w:ascii="宋体" w:hAnsi="宋体"/>
          <w:color w:val="auto"/>
          <w:sz w:val="28"/>
          <w:szCs w:val="28"/>
          <w:highlight w:val="none"/>
        </w:rPr>
        <w:t>投标报价</w:t>
      </w:r>
    </w:p>
    <w:p>
      <w:pPr>
        <w:spacing w:line="360" w:lineRule="auto"/>
        <w:ind w:firstLine="371" w:firstLineChars="177"/>
        <w:rPr>
          <w:rFonts w:ascii="宋体" w:hAnsi="宋体"/>
          <w:color w:val="auto"/>
          <w:szCs w:val="21"/>
          <w:highlight w:val="none"/>
        </w:rPr>
      </w:pPr>
      <w:r>
        <w:rPr>
          <w:rFonts w:ascii="宋体" w:hAnsi="宋体"/>
          <w:color w:val="auto"/>
          <w:szCs w:val="21"/>
          <w:highlight w:val="none"/>
        </w:rPr>
        <w:t>3.2.1投标人的投标总价应严格控制在最高投标限价以内，不得超出。</w:t>
      </w:r>
    </w:p>
    <w:p>
      <w:pPr>
        <w:spacing w:line="360" w:lineRule="auto"/>
        <w:ind w:firstLine="371" w:firstLineChars="177"/>
        <w:rPr>
          <w:rFonts w:ascii="宋体" w:hAnsi="宋体"/>
          <w:color w:val="auto"/>
          <w:szCs w:val="21"/>
          <w:highlight w:val="none"/>
        </w:rPr>
      </w:pPr>
      <w:r>
        <w:rPr>
          <w:rFonts w:ascii="宋体" w:hAnsi="宋体"/>
          <w:color w:val="auto"/>
          <w:szCs w:val="21"/>
          <w:highlight w:val="none"/>
        </w:rPr>
        <w:t xml:space="preserve">3.2.2 </w:t>
      </w:r>
      <w:r>
        <w:rPr>
          <w:rFonts w:hint="eastAsia" w:ascii="宋体" w:hAnsi="宋体"/>
          <w:color w:val="auto"/>
          <w:szCs w:val="21"/>
          <w:highlight w:val="none"/>
        </w:rPr>
        <w:t>投标人应按第五章“工程量清单”的要求填写相应表格，并应按照本招标文件相关要求进行投标报价。</w:t>
      </w:r>
    </w:p>
    <w:p>
      <w:pPr>
        <w:spacing w:line="360" w:lineRule="auto"/>
        <w:ind w:firstLine="371" w:firstLineChars="177"/>
        <w:rPr>
          <w:rFonts w:ascii="宋体" w:hAnsi="宋体"/>
          <w:color w:val="auto"/>
          <w:szCs w:val="21"/>
          <w:highlight w:val="none"/>
        </w:rPr>
      </w:pPr>
      <w:r>
        <w:rPr>
          <w:rFonts w:ascii="宋体" w:hAnsi="宋体"/>
          <w:color w:val="auto"/>
          <w:szCs w:val="21"/>
          <w:highlight w:val="none"/>
        </w:rPr>
        <w:t xml:space="preserve">3.2.3 </w:t>
      </w:r>
      <w:r>
        <w:rPr>
          <w:rFonts w:hint="eastAsia" w:ascii="宋体" w:hAnsi="宋体"/>
          <w:color w:val="auto"/>
          <w:szCs w:val="21"/>
          <w:highlight w:val="none"/>
        </w:rPr>
        <w:t>投标人在投标截止时间前修改投标函及投标函附录中的投标总价，应同时修改第五章“工程量清单”中的相应报价。此修改须符合本章第</w:t>
      </w:r>
      <w:r>
        <w:rPr>
          <w:rFonts w:ascii="宋体" w:hAnsi="宋体"/>
          <w:color w:val="auto"/>
          <w:szCs w:val="21"/>
          <w:highlight w:val="none"/>
        </w:rPr>
        <w:t>4.3款相关要求。</w:t>
      </w:r>
    </w:p>
    <w:p>
      <w:pPr>
        <w:spacing w:line="360" w:lineRule="auto"/>
        <w:rPr>
          <w:rFonts w:ascii="宋体" w:hAnsi="宋体"/>
          <w:color w:val="auto"/>
          <w:szCs w:val="21"/>
          <w:highlight w:val="none"/>
        </w:rPr>
      </w:pPr>
      <w:r>
        <w:rPr>
          <w:rFonts w:ascii="宋体" w:hAnsi="宋体"/>
          <w:color w:val="auto"/>
          <w:sz w:val="28"/>
          <w:szCs w:val="28"/>
          <w:highlight w:val="none"/>
        </w:rPr>
        <w:t>3.3</w:t>
      </w:r>
      <w:r>
        <w:rPr>
          <w:rFonts w:hint="eastAsia" w:ascii="宋体" w:hAnsi="宋体"/>
          <w:color w:val="auto"/>
          <w:sz w:val="28"/>
          <w:szCs w:val="28"/>
          <w:highlight w:val="none"/>
        </w:rPr>
        <w:t>投标文件格式</w:t>
      </w:r>
      <w:r>
        <w:rPr>
          <w:rFonts w:hint="eastAsia" w:ascii="宋体" w:hAnsi="宋体"/>
          <w:color w:val="auto"/>
          <w:szCs w:val="21"/>
          <w:highlight w:val="none"/>
        </w:rPr>
        <w:t xml:space="preserve"> </w:t>
      </w:r>
      <w:r>
        <w:rPr>
          <w:rFonts w:ascii="宋体" w:hAnsi="宋体"/>
          <w:color w:val="auto"/>
          <w:szCs w:val="21"/>
          <w:highlight w:val="none"/>
        </w:rPr>
        <w:t xml:space="preserve"> </w:t>
      </w:r>
    </w:p>
    <w:p>
      <w:pPr>
        <w:spacing w:line="36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bCs/>
          <w:color w:val="auto"/>
          <w:szCs w:val="21"/>
          <w:highlight w:val="none"/>
        </w:rPr>
        <w:t>投标人</w:t>
      </w:r>
      <w:r>
        <w:rPr>
          <w:rFonts w:ascii="宋体" w:hAnsi="宋体"/>
          <w:bCs/>
          <w:color w:val="auto"/>
          <w:szCs w:val="21"/>
          <w:highlight w:val="none"/>
        </w:rPr>
        <w:t>应按照</w:t>
      </w:r>
      <w:r>
        <w:rPr>
          <w:rFonts w:hint="eastAsia" w:ascii="宋体" w:hAnsi="宋体"/>
          <w:bCs/>
          <w:color w:val="auto"/>
          <w:szCs w:val="21"/>
          <w:highlight w:val="none"/>
        </w:rPr>
        <w:t>招标</w:t>
      </w:r>
      <w:r>
        <w:rPr>
          <w:rFonts w:ascii="宋体" w:hAnsi="宋体"/>
          <w:bCs/>
          <w:color w:val="auto"/>
          <w:szCs w:val="21"/>
          <w:highlight w:val="none"/>
        </w:rPr>
        <w:t>文件</w:t>
      </w:r>
      <w:r>
        <w:rPr>
          <w:rFonts w:hint="eastAsia" w:ascii="宋体" w:hAnsi="宋体"/>
          <w:bCs/>
          <w:color w:val="auto"/>
          <w:szCs w:val="21"/>
          <w:highlight w:val="none"/>
        </w:rPr>
        <w:t>第八章</w:t>
      </w:r>
      <w:r>
        <w:rPr>
          <w:rFonts w:ascii="宋体" w:hAnsi="宋体"/>
          <w:bCs/>
          <w:color w:val="auto"/>
          <w:szCs w:val="21"/>
          <w:highlight w:val="none"/>
        </w:rPr>
        <w:t>中提供的格式</w:t>
      </w:r>
      <w:r>
        <w:rPr>
          <w:rFonts w:hint="eastAsia" w:ascii="宋体" w:hAnsi="宋体"/>
          <w:bCs/>
          <w:color w:val="auto"/>
          <w:szCs w:val="21"/>
          <w:highlight w:val="none"/>
        </w:rPr>
        <w:t>，</w:t>
      </w:r>
      <w:r>
        <w:rPr>
          <w:rFonts w:ascii="宋体" w:hAnsi="宋体"/>
          <w:bCs/>
          <w:color w:val="auto"/>
          <w:szCs w:val="21"/>
          <w:highlight w:val="none"/>
        </w:rPr>
        <w:t>完整地填写</w:t>
      </w:r>
      <w:r>
        <w:rPr>
          <w:rFonts w:hint="eastAsia" w:ascii="宋体" w:hAnsi="宋体"/>
          <w:bCs/>
          <w:color w:val="auto"/>
          <w:szCs w:val="21"/>
          <w:highlight w:val="none"/>
        </w:rPr>
        <w:t>投标</w:t>
      </w:r>
      <w:r>
        <w:rPr>
          <w:rFonts w:ascii="宋体" w:hAnsi="宋体"/>
          <w:bCs/>
          <w:color w:val="auto"/>
          <w:szCs w:val="21"/>
          <w:highlight w:val="none"/>
        </w:rPr>
        <w:t>报价表以及相关</w:t>
      </w:r>
      <w:r>
        <w:rPr>
          <w:rFonts w:hint="eastAsia" w:ascii="宋体" w:hAnsi="宋体"/>
          <w:bCs/>
          <w:color w:val="auto"/>
          <w:szCs w:val="21"/>
          <w:highlight w:val="none"/>
        </w:rPr>
        <w:t>投标</w:t>
      </w:r>
      <w:r>
        <w:rPr>
          <w:rFonts w:ascii="宋体" w:hAnsi="宋体"/>
          <w:bCs/>
          <w:color w:val="auto"/>
          <w:szCs w:val="21"/>
          <w:highlight w:val="none"/>
        </w:rPr>
        <w:t>内容。</w:t>
      </w:r>
    </w:p>
    <w:p>
      <w:pPr>
        <w:spacing w:line="360" w:lineRule="auto"/>
        <w:rPr>
          <w:rFonts w:ascii="宋体" w:hAnsi="宋体"/>
          <w:color w:val="auto"/>
          <w:sz w:val="28"/>
          <w:szCs w:val="28"/>
          <w:highlight w:val="none"/>
        </w:rPr>
      </w:pPr>
      <w:r>
        <w:rPr>
          <w:rFonts w:ascii="宋体" w:hAnsi="宋体"/>
          <w:color w:val="auto"/>
          <w:sz w:val="28"/>
          <w:szCs w:val="28"/>
          <w:highlight w:val="none"/>
        </w:rPr>
        <w:t xml:space="preserve">3.4 </w:t>
      </w:r>
      <w:r>
        <w:rPr>
          <w:rFonts w:hint="eastAsia" w:ascii="宋体" w:hAnsi="宋体"/>
          <w:color w:val="auto"/>
          <w:sz w:val="28"/>
          <w:szCs w:val="28"/>
          <w:highlight w:val="none"/>
        </w:rPr>
        <w:t>投标有效期</w:t>
      </w:r>
    </w:p>
    <w:p>
      <w:pPr>
        <w:spacing w:line="360" w:lineRule="auto"/>
        <w:ind w:firstLine="371" w:firstLineChars="177"/>
        <w:rPr>
          <w:rFonts w:ascii="宋体" w:hAnsi="宋体"/>
          <w:color w:val="auto"/>
          <w:szCs w:val="21"/>
          <w:highlight w:val="none"/>
        </w:rPr>
      </w:pPr>
      <w:r>
        <w:rPr>
          <w:rFonts w:ascii="宋体" w:hAnsi="宋体"/>
          <w:color w:val="auto"/>
          <w:szCs w:val="21"/>
          <w:highlight w:val="none"/>
        </w:rPr>
        <w:t>3.4.1</w:t>
      </w:r>
      <w:r>
        <w:rPr>
          <w:rFonts w:hint="eastAsia" w:ascii="宋体" w:hAnsi="宋体"/>
          <w:color w:val="auto"/>
          <w:szCs w:val="21"/>
          <w:highlight w:val="none"/>
        </w:rPr>
        <w:t>在投标人须知前附表规定的投标有效期内，投标人不得要求撤销或修改其投标文件。</w:t>
      </w:r>
    </w:p>
    <w:p>
      <w:pPr>
        <w:spacing w:line="360" w:lineRule="auto"/>
        <w:ind w:firstLine="371" w:firstLineChars="177"/>
        <w:rPr>
          <w:rFonts w:ascii="宋体" w:hAnsi="宋体"/>
          <w:color w:val="auto"/>
          <w:szCs w:val="21"/>
          <w:highlight w:val="none"/>
        </w:rPr>
      </w:pPr>
      <w:r>
        <w:rPr>
          <w:rFonts w:ascii="宋体" w:hAnsi="宋体"/>
          <w:color w:val="auto"/>
          <w:szCs w:val="21"/>
          <w:highlight w:val="none"/>
        </w:rPr>
        <w:t>3.4.2</w:t>
      </w:r>
      <w:r>
        <w:rPr>
          <w:rFonts w:hint="eastAsia" w:ascii="宋体" w:hAnsi="宋体"/>
          <w:color w:val="auto"/>
          <w:szCs w:val="21"/>
          <w:highlight w:val="none"/>
        </w:rPr>
        <w:t>在原投标有效期期满前，出现特殊情况需要延长投标有效期的，采购人以书面形式通知所有投标人延长投标有效期。投标人同意延长的，应相应延长其投标保证金的有效期，但不得要求或被允许修改或撤销其投标文件；投标人拒绝延长的，其投标自原投标有效期届满时失效，但投标人有权收回其投标保证金。</w:t>
      </w:r>
    </w:p>
    <w:p>
      <w:pPr>
        <w:spacing w:line="360" w:lineRule="auto"/>
        <w:rPr>
          <w:rFonts w:ascii="宋体" w:hAnsi="宋体"/>
          <w:color w:val="auto"/>
          <w:sz w:val="28"/>
          <w:szCs w:val="28"/>
          <w:highlight w:val="none"/>
        </w:rPr>
      </w:pPr>
      <w:r>
        <w:rPr>
          <w:rFonts w:ascii="宋体" w:hAnsi="宋体"/>
          <w:color w:val="auto"/>
          <w:sz w:val="28"/>
          <w:szCs w:val="28"/>
          <w:highlight w:val="none"/>
        </w:rPr>
        <w:t xml:space="preserve">3.5 </w:t>
      </w:r>
      <w:r>
        <w:rPr>
          <w:rFonts w:hint="eastAsia" w:ascii="宋体" w:hAnsi="宋体"/>
          <w:color w:val="auto"/>
          <w:sz w:val="28"/>
          <w:szCs w:val="28"/>
          <w:highlight w:val="none"/>
        </w:rPr>
        <w:t>投标保证金</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3.5.1应按投标人须知前附表规定的金额、提交形式提交投标保证金。</w:t>
      </w:r>
    </w:p>
    <w:p>
      <w:pPr>
        <w:spacing w:line="360" w:lineRule="auto"/>
        <w:ind w:firstLine="371" w:firstLineChars="177"/>
        <w:rPr>
          <w:rFonts w:ascii="宋体" w:hAnsi="宋体"/>
          <w:color w:val="auto"/>
          <w:szCs w:val="21"/>
          <w:highlight w:val="none"/>
        </w:rPr>
      </w:pPr>
      <w:r>
        <w:rPr>
          <w:rFonts w:ascii="宋体" w:hAnsi="宋体"/>
          <w:color w:val="auto"/>
          <w:szCs w:val="21"/>
          <w:highlight w:val="none"/>
        </w:rPr>
        <w:t>3.5.2</w:t>
      </w:r>
      <w:r>
        <w:rPr>
          <w:rFonts w:hint="eastAsia" w:ascii="宋体" w:hAnsi="宋体"/>
          <w:color w:val="auto"/>
          <w:szCs w:val="21"/>
          <w:highlight w:val="none"/>
        </w:rPr>
        <w:t>投标人不按本章第</w:t>
      </w:r>
      <w:r>
        <w:rPr>
          <w:rFonts w:ascii="宋体" w:hAnsi="宋体"/>
          <w:color w:val="auto"/>
          <w:szCs w:val="21"/>
          <w:highlight w:val="none"/>
        </w:rPr>
        <w:t>3.4.1项要求提交投标保证金的，</w:t>
      </w:r>
      <w:r>
        <w:rPr>
          <w:rFonts w:hint="eastAsia" w:ascii="宋体" w:hAnsi="宋体"/>
          <w:color w:val="auto"/>
          <w:szCs w:val="21"/>
          <w:highlight w:val="none"/>
        </w:rPr>
        <w:t>其投标文件将被否决。</w:t>
      </w:r>
    </w:p>
    <w:p>
      <w:pPr>
        <w:spacing w:line="360" w:lineRule="auto"/>
        <w:ind w:firstLine="371" w:firstLineChars="177"/>
        <w:rPr>
          <w:rFonts w:ascii="宋体" w:hAnsi="宋体"/>
          <w:color w:val="auto"/>
          <w:szCs w:val="21"/>
          <w:highlight w:val="none"/>
        </w:rPr>
      </w:pPr>
      <w:r>
        <w:rPr>
          <w:rFonts w:ascii="宋体" w:hAnsi="宋体"/>
          <w:color w:val="auto"/>
          <w:szCs w:val="21"/>
          <w:highlight w:val="none"/>
        </w:rPr>
        <w:t>3.5.3</w:t>
      </w:r>
      <w:r>
        <w:rPr>
          <w:rFonts w:hint="eastAsia" w:ascii="宋体" w:hAnsi="宋体"/>
          <w:color w:val="auto"/>
          <w:szCs w:val="21"/>
          <w:highlight w:val="none"/>
        </w:rPr>
        <w:t>采购人最迟应当在与中标人签订合同后</w:t>
      </w:r>
      <w:r>
        <w:rPr>
          <w:rFonts w:ascii="宋体" w:hAnsi="宋体"/>
          <w:color w:val="auto"/>
          <w:szCs w:val="21"/>
          <w:highlight w:val="none"/>
        </w:rPr>
        <w:t>5</w:t>
      </w:r>
      <w:r>
        <w:rPr>
          <w:rFonts w:hint="eastAsia" w:ascii="宋体" w:hAnsi="宋体"/>
          <w:color w:val="auto"/>
          <w:szCs w:val="21"/>
          <w:highlight w:val="none"/>
        </w:rPr>
        <w:t>日内，安排向中标人和未中标的投标人退还投标保证金事宜。中标人的投标保证金可以转为履约保证金。</w:t>
      </w:r>
    </w:p>
    <w:p>
      <w:pPr>
        <w:spacing w:line="360" w:lineRule="auto"/>
        <w:ind w:firstLine="371" w:firstLineChars="177"/>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.5.4</w:t>
      </w:r>
      <w:r>
        <w:rPr>
          <w:rFonts w:hint="eastAsia" w:ascii="宋体" w:hAnsi="宋体"/>
          <w:color w:val="auto"/>
          <w:szCs w:val="21"/>
          <w:highlight w:val="none"/>
        </w:rPr>
        <w:t>采购代理机构逾期退还投标保证金的，除应当退还投标保证金本金外，还应当按中国人民银行同期贷款基准利率上浮20%后的利率支付超期资金占用费，但因投标人自身原因导致无法及时退还的除外。</w:t>
      </w:r>
    </w:p>
    <w:p>
      <w:pPr>
        <w:spacing w:line="360" w:lineRule="auto"/>
        <w:ind w:firstLine="371" w:firstLineChars="177"/>
        <w:rPr>
          <w:rFonts w:ascii="宋体" w:hAnsi="宋体"/>
          <w:color w:val="auto"/>
          <w:szCs w:val="21"/>
          <w:highlight w:val="none"/>
        </w:rPr>
      </w:pPr>
      <w:r>
        <w:rPr>
          <w:rFonts w:ascii="宋体" w:hAnsi="宋体"/>
          <w:color w:val="auto"/>
          <w:szCs w:val="21"/>
          <w:highlight w:val="none"/>
        </w:rPr>
        <w:t>3.5.5</w:t>
      </w:r>
      <w:r>
        <w:rPr>
          <w:rFonts w:hint="eastAsia" w:ascii="宋体" w:hAnsi="宋体"/>
          <w:color w:val="auto"/>
          <w:szCs w:val="21"/>
          <w:highlight w:val="none"/>
        </w:rPr>
        <w:t>有下列情形之一的，投标保证金不予退还：</w:t>
      </w:r>
    </w:p>
    <w:p>
      <w:pPr>
        <w:spacing w:line="360" w:lineRule="auto"/>
        <w:ind w:firstLine="371" w:firstLineChars="177"/>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）投标人在规定的投标有效期内撤销其投标文件；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（2）中标人在收到中标通知书后，无正当理由不与采购人签订合同的；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（3）中标人在签订合同时向采购人提出附加条件的；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（4）中标人不按照招标文件要求提交履约担保的。</w:t>
      </w:r>
    </w:p>
    <w:p>
      <w:pPr>
        <w:spacing w:line="360" w:lineRule="auto"/>
        <w:rPr>
          <w:rFonts w:ascii="宋体" w:hAnsi="宋体"/>
          <w:color w:val="auto"/>
          <w:sz w:val="28"/>
          <w:szCs w:val="28"/>
          <w:highlight w:val="none"/>
        </w:rPr>
      </w:pPr>
      <w:r>
        <w:rPr>
          <w:rFonts w:ascii="宋体" w:hAnsi="宋体"/>
          <w:color w:val="auto"/>
          <w:sz w:val="28"/>
          <w:szCs w:val="28"/>
          <w:highlight w:val="none"/>
        </w:rPr>
        <w:t xml:space="preserve">3.6 </w:t>
      </w:r>
      <w:r>
        <w:rPr>
          <w:rFonts w:hint="eastAsia" w:ascii="宋体" w:hAnsi="宋体"/>
          <w:color w:val="auto"/>
          <w:sz w:val="28"/>
          <w:szCs w:val="28"/>
          <w:highlight w:val="none"/>
        </w:rPr>
        <w:t>投标人基本资料</w:t>
      </w:r>
    </w:p>
    <w:p>
      <w:pPr>
        <w:spacing w:line="360" w:lineRule="auto"/>
        <w:ind w:firstLine="371" w:firstLineChars="177"/>
        <w:rPr>
          <w:rFonts w:ascii="宋体" w:hAnsi="宋体"/>
          <w:color w:val="auto"/>
          <w:szCs w:val="21"/>
          <w:highlight w:val="none"/>
        </w:rPr>
      </w:pPr>
      <w:r>
        <w:rPr>
          <w:rFonts w:hint="eastAsia" w:ascii="宋体" w:hAnsi="宋体"/>
          <w:color w:val="auto"/>
          <w:szCs w:val="21"/>
          <w:highlight w:val="none"/>
        </w:rPr>
        <w:t>见第八章 投标文件组成中“投标人基本资料”要求。</w:t>
      </w:r>
    </w:p>
    <w:p>
      <w:pPr>
        <w:spacing w:line="360" w:lineRule="auto"/>
        <w:rPr>
          <w:rFonts w:ascii="宋体" w:hAnsi="宋体"/>
          <w:color w:val="auto"/>
          <w:sz w:val="28"/>
          <w:szCs w:val="28"/>
          <w:highlight w:val="none"/>
        </w:rPr>
      </w:pPr>
      <w:r>
        <w:rPr>
          <w:rFonts w:ascii="宋体" w:hAnsi="宋体"/>
          <w:color w:val="auto"/>
          <w:sz w:val="28"/>
          <w:szCs w:val="28"/>
          <w:highlight w:val="none"/>
        </w:rPr>
        <w:t xml:space="preserve">3.7 </w:t>
      </w:r>
      <w:r>
        <w:rPr>
          <w:rFonts w:hint="eastAsia" w:ascii="宋体" w:hAnsi="宋体"/>
          <w:color w:val="auto"/>
          <w:sz w:val="28"/>
          <w:szCs w:val="28"/>
          <w:highlight w:val="none"/>
        </w:rPr>
        <w:t>投标文件的编制</w:t>
      </w:r>
    </w:p>
    <w:p>
      <w:pPr>
        <w:spacing w:line="360" w:lineRule="auto"/>
        <w:ind w:firstLine="371" w:firstLineChars="177"/>
        <w:rPr>
          <w:rFonts w:ascii="宋体" w:hAnsi="宋体"/>
          <w:color w:val="auto"/>
          <w:szCs w:val="21"/>
          <w:highlight w:val="none"/>
        </w:rPr>
      </w:pPr>
      <w:r>
        <w:rPr>
          <w:rFonts w:ascii="宋体" w:hAnsi="宋体"/>
          <w:color w:val="auto"/>
          <w:szCs w:val="21"/>
          <w:highlight w:val="none"/>
        </w:rPr>
        <w:t>3.7.1投标文件应按第八章“投标文件格式”进行编写，如有必要，可以增加附页，作为投标文件的组成部分。</w:t>
      </w:r>
    </w:p>
    <w:p>
      <w:pPr>
        <w:spacing w:line="360" w:lineRule="auto"/>
        <w:ind w:firstLine="371" w:firstLineChars="177"/>
        <w:rPr>
          <w:rFonts w:ascii="宋体" w:hAnsi="宋体"/>
          <w:color w:val="auto"/>
          <w:szCs w:val="21"/>
          <w:highlight w:val="none"/>
        </w:rPr>
      </w:pPr>
      <w:r>
        <w:rPr>
          <w:rFonts w:ascii="宋体" w:hAnsi="宋体"/>
          <w:color w:val="auto"/>
          <w:szCs w:val="21"/>
          <w:highlight w:val="none"/>
        </w:rPr>
        <w:t>3.7.2投标文件应当对招标文件的工期、投标有效期、质量要求、技术标准和要求、招标范围等实质性内容</w:t>
      </w:r>
      <w:r>
        <w:rPr>
          <w:rFonts w:hint="eastAsia" w:ascii="宋体" w:hAnsi="宋体"/>
          <w:color w:val="auto"/>
          <w:szCs w:val="21"/>
          <w:highlight w:val="none"/>
        </w:rPr>
        <w:t>作出响应。技术标应针对本项目的关键技术、工艺、重点和难点进行编制，如果未采用新工艺、新技术、新工法的，应避免把标准、规范、规程和工法的具体内容载入技术标，且技术标中不得提供与本工程无关内容。</w:t>
      </w:r>
    </w:p>
    <w:p>
      <w:pPr>
        <w:spacing w:line="360" w:lineRule="auto"/>
        <w:ind w:firstLine="371" w:firstLineChars="177"/>
        <w:rPr>
          <w:rFonts w:ascii="宋体" w:hAnsi="宋体"/>
          <w:color w:val="auto"/>
          <w:szCs w:val="21"/>
          <w:highlight w:val="none"/>
        </w:rPr>
      </w:pPr>
      <w:r>
        <w:rPr>
          <w:rFonts w:ascii="宋体" w:hAnsi="宋体"/>
          <w:color w:val="auto"/>
          <w:szCs w:val="21"/>
          <w:highlight w:val="none"/>
        </w:rPr>
        <w:t>3.7.3</w:t>
      </w:r>
      <w:r>
        <w:rPr>
          <w:rFonts w:hint="eastAsia" w:ascii="宋体" w:hAnsi="宋体"/>
          <w:color w:val="auto"/>
          <w:szCs w:val="21"/>
          <w:highlight w:val="none"/>
        </w:rPr>
        <w:t>技术标文字部分宜统一采用宋体小四号，字符间距为标准间距，行距为</w:t>
      </w:r>
      <w:r>
        <w:rPr>
          <w:rFonts w:ascii="宋体" w:hAnsi="宋体"/>
          <w:color w:val="auto"/>
          <w:szCs w:val="21"/>
          <w:highlight w:val="none"/>
        </w:rPr>
        <w:t>1.5倍行距，纸张规格为A4</w:t>
      </w:r>
      <w:r>
        <w:rPr>
          <w:rFonts w:hint="eastAsia" w:ascii="宋体" w:hAnsi="宋体"/>
          <w:color w:val="auto"/>
          <w:szCs w:val="21"/>
          <w:highlight w:val="none"/>
        </w:rPr>
        <w:t>（除个别资料如平面布置图可采用</w:t>
      </w:r>
      <w:r>
        <w:rPr>
          <w:rFonts w:ascii="宋体" w:hAnsi="宋体"/>
          <w:color w:val="auto"/>
          <w:szCs w:val="21"/>
          <w:highlight w:val="none"/>
        </w:rPr>
        <w:t>A3</w:t>
      </w:r>
      <w:r>
        <w:rPr>
          <w:rFonts w:hint="eastAsia" w:ascii="宋体" w:hAnsi="宋体"/>
          <w:color w:val="auto"/>
          <w:szCs w:val="21"/>
          <w:highlight w:val="none"/>
        </w:rPr>
        <w:t>纸）。</w:t>
      </w:r>
    </w:p>
    <w:p>
      <w:pPr>
        <w:spacing w:line="360" w:lineRule="auto"/>
        <w:ind w:firstLine="371" w:firstLineChars="177"/>
        <w:rPr>
          <w:rFonts w:ascii="宋体" w:hAnsi="宋体"/>
          <w:color w:val="auto"/>
          <w:szCs w:val="21"/>
          <w:highlight w:val="none"/>
        </w:rPr>
      </w:pPr>
      <w:r>
        <w:rPr>
          <w:rFonts w:ascii="宋体" w:hAnsi="宋体"/>
          <w:color w:val="auto"/>
          <w:szCs w:val="21"/>
          <w:highlight w:val="none"/>
        </w:rPr>
        <w:t>3.7.4</w:t>
      </w:r>
      <w:r>
        <w:rPr>
          <w:rFonts w:hint="eastAsia" w:ascii="宋体" w:hAnsi="宋体"/>
          <w:color w:val="auto"/>
          <w:szCs w:val="21"/>
          <w:highlight w:val="none"/>
        </w:rPr>
        <w:t>投标文件应用不褪色的材料书写或打印，文本内容（不包括封面、目录、封底及图纸）宜双面打印或复印，需盖章和签字处应由投标人的法定代表人或其委托代理人签字或盖章并加盖单位公章。委托代理人签字或盖章的，投标文件中应附法定代表人签署的授权委托书。投标文件应尽量避免涂改、行间插字或删除，如果出现上述情况，改动之处应加盖投标人单位公章或由投标人的法定代表人或其委托代理人签字或盖章确认。签字和盖章要求见投标人须知前附表。</w:t>
      </w:r>
    </w:p>
    <w:p>
      <w:pPr>
        <w:spacing w:line="360" w:lineRule="auto"/>
        <w:ind w:firstLine="371" w:firstLineChars="177"/>
        <w:rPr>
          <w:rFonts w:ascii="宋体" w:hAnsi="宋体"/>
          <w:color w:val="auto"/>
          <w:szCs w:val="21"/>
          <w:highlight w:val="none"/>
        </w:rPr>
      </w:pPr>
      <w:r>
        <w:rPr>
          <w:rFonts w:ascii="宋体" w:hAnsi="宋体"/>
          <w:color w:val="auto"/>
          <w:szCs w:val="21"/>
          <w:highlight w:val="none"/>
        </w:rPr>
        <w:t>3.7.5</w:t>
      </w:r>
      <w:bookmarkStart w:id="38" w:name="_Hlk17875927"/>
      <w:r>
        <w:rPr>
          <w:rFonts w:hint="eastAsia" w:ascii="宋体" w:hAnsi="宋体"/>
          <w:color w:val="auto"/>
          <w:szCs w:val="21"/>
          <w:highlight w:val="none"/>
        </w:rPr>
        <w:t>投标文件（书面文本）正本与副本不一致时，以正本为准。</w:t>
      </w:r>
      <w:bookmarkEnd w:id="38"/>
      <w:r>
        <w:rPr>
          <w:rFonts w:hint="eastAsia" w:ascii="宋体" w:hAnsi="宋体"/>
          <w:color w:val="auto"/>
          <w:szCs w:val="21"/>
          <w:highlight w:val="none"/>
        </w:rPr>
        <w:t>投标文件书面文本与电子文本不一致时，以书面文本为准。投标文件份数见投标人须知前附表。</w:t>
      </w:r>
    </w:p>
    <w:p>
      <w:pPr>
        <w:spacing w:line="360" w:lineRule="auto"/>
        <w:ind w:firstLine="371" w:firstLineChars="177"/>
        <w:rPr>
          <w:rFonts w:ascii="宋体" w:hAnsi="宋体"/>
          <w:color w:val="auto"/>
          <w:szCs w:val="21"/>
          <w:highlight w:val="none"/>
        </w:rPr>
      </w:pPr>
      <w:r>
        <w:rPr>
          <w:rFonts w:ascii="宋体" w:hAnsi="宋体"/>
          <w:color w:val="auto"/>
          <w:szCs w:val="21"/>
          <w:highlight w:val="none"/>
        </w:rPr>
        <w:t xml:space="preserve">3.7.6 </w:t>
      </w:r>
      <w:r>
        <w:rPr>
          <w:rFonts w:hint="eastAsia" w:ascii="宋体" w:hAnsi="宋体"/>
          <w:color w:val="auto"/>
          <w:szCs w:val="21"/>
          <w:highlight w:val="none"/>
        </w:rPr>
        <w:t>投标文件的正本与副本宜编制目录，投标文件装订要求见投标人须知前附表。</w:t>
      </w:r>
    </w:p>
    <w:p>
      <w:pPr>
        <w:pStyle w:val="3"/>
        <w:keepNext w:val="0"/>
        <w:keepLines w:val="0"/>
        <w:spacing w:line="360" w:lineRule="auto"/>
        <w:rPr>
          <w:rFonts w:ascii="宋体" w:hAnsi="宋体" w:eastAsia="宋体"/>
          <w:b w:val="0"/>
          <w:color w:val="auto"/>
          <w:sz w:val="30"/>
          <w:szCs w:val="30"/>
          <w:highlight w:val="none"/>
        </w:rPr>
      </w:pPr>
      <w:bookmarkStart w:id="39" w:name="_Toc448129432"/>
      <w:bookmarkStart w:id="40" w:name="_Toc28253"/>
      <w:bookmarkStart w:id="41" w:name="_Toc509328907"/>
      <w:bookmarkStart w:id="42" w:name="_Toc466881191"/>
      <w:bookmarkStart w:id="43" w:name="_Toc503862609"/>
      <w:r>
        <w:rPr>
          <w:rFonts w:ascii="宋体" w:hAnsi="宋体" w:eastAsia="宋体"/>
          <w:b w:val="0"/>
          <w:color w:val="auto"/>
          <w:sz w:val="30"/>
          <w:szCs w:val="30"/>
          <w:highlight w:val="none"/>
        </w:rPr>
        <w:t>4．投标</w:t>
      </w:r>
      <w:bookmarkEnd w:id="39"/>
      <w:bookmarkEnd w:id="40"/>
      <w:bookmarkEnd w:id="41"/>
      <w:bookmarkEnd w:id="42"/>
      <w:bookmarkEnd w:id="43"/>
    </w:p>
    <w:p>
      <w:pPr>
        <w:spacing w:line="360" w:lineRule="auto"/>
        <w:rPr>
          <w:rFonts w:ascii="宋体" w:hAnsi="宋体"/>
          <w:color w:val="auto"/>
          <w:sz w:val="28"/>
          <w:szCs w:val="28"/>
          <w:highlight w:val="none"/>
        </w:rPr>
      </w:pPr>
      <w:r>
        <w:rPr>
          <w:rFonts w:ascii="宋体" w:hAnsi="宋体"/>
          <w:color w:val="auto"/>
          <w:sz w:val="28"/>
          <w:szCs w:val="28"/>
          <w:highlight w:val="none"/>
        </w:rPr>
        <w:t xml:space="preserve">4.1 </w:t>
      </w:r>
      <w:r>
        <w:rPr>
          <w:rFonts w:hint="eastAsia" w:ascii="宋体" w:hAnsi="宋体"/>
          <w:color w:val="auto"/>
          <w:sz w:val="28"/>
          <w:szCs w:val="28"/>
          <w:highlight w:val="none"/>
        </w:rPr>
        <w:t>投标文件的密封和标记</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4.1.1 投标文件包装要求见投标人须知前附表。</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 xml:space="preserve">4.1.2 </w:t>
      </w:r>
      <w:r>
        <w:rPr>
          <w:rFonts w:hint="eastAsia" w:ascii="宋体" w:hAnsi="宋体"/>
          <w:color w:val="auto"/>
          <w:szCs w:val="21"/>
          <w:highlight w:val="none"/>
        </w:rPr>
        <w:t>投标文件的封套标记应清晰，内容见投标人须知前附表。</w:t>
      </w:r>
    </w:p>
    <w:p>
      <w:pPr>
        <w:spacing w:line="360" w:lineRule="auto"/>
        <w:rPr>
          <w:rFonts w:ascii="宋体" w:hAnsi="宋体"/>
          <w:color w:val="auto"/>
          <w:sz w:val="28"/>
          <w:szCs w:val="28"/>
          <w:highlight w:val="none"/>
        </w:rPr>
      </w:pPr>
      <w:r>
        <w:rPr>
          <w:rFonts w:ascii="宋体" w:hAnsi="宋体"/>
          <w:color w:val="auto"/>
          <w:sz w:val="28"/>
          <w:szCs w:val="28"/>
          <w:highlight w:val="none"/>
        </w:rPr>
        <w:t xml:space="preserve">4.2 </w:t>
      </w:r>
      <w:r>
        <w:rPr>
          <w:rFonts w:hint="eastAsia" w:ascii="宋体" w:hAnsi="宋体"/>
          <w:color w:val="auto"/>
          <w:sz w:val="28"/>
          <w:szCs w:val="28"/>
          <w:highlight w:val="none"/>
        </w:rPr>
        <w:t>投标文件的提交</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 xml:space="preserve">4.2.1 </w:t>
      </w:r>
      <w:r>
        <w:rPr>
          <w:rFonts w:hint="eastAsia" w:ascii="宋体" w:hAnsi="宋体"/>
          <w:color w:val="auto"/>
          <w:szCs w:val="21"/>
          <w:highlight w:val="none"/>
        </w:rPr>
        <w:t>投标截止时间（即开标时间）见投标人须知前附表</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 xml:space="preserve">4.2.2 </w:t>
      </w:r>
      <w:r>
        <w:rPr>
          <w:rFonts w:hint="eastAsia" w:ascii="宋体" w:hAnsi="宋体"/>
          <w:color w:val="auto"/>
          <w:szCs w:val="21"/>
          <w:highlight w:val="none"/>
        </w:rPr>
        <w:t>提交投标文件地点（即开标地点）见投标人须知前附表。</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 xml:space="preserve">4.2.3 </w:t>
      </w:r>
      <w:r>
        <w:rPr>
          <w:rFonts w:hint="eastAsia" w:ascii="宋体" w:hAnsi="宋体"/>
          <w:color w:val="auto"/>
          <w:szCs w:val="21"/>
          <w:highlight w:val="none"/>
        </w:rPr>
        <w:t>除投标人须知前附表另有规定外，投标人所提交的投标文件不予退还。</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4.2.4</w:t>
      </w:r>
      <w:r>
        <w:rPr>
          <w:rFonts w:hint="eastAsia" w:ascii="宋体" w:hAnsi="宋体"/>
          <w:color w:val="auto"/>
          <w:szCs w:val="21"/>
          <w:highlight w:val="none"/>
        </w:rPr>
        <w:t>如果投标文件未按投标人须知规定进行封套标记的，采购人将不承担投标文件被误投或提前拆封的责任。</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4.2.5投标人应在投标截止时间前将投标文件提交至指定地点。</w:t>
      </w:r>
    </w:p>
    <w:p>
      <w:pPr>
        <w:spacing w:line="360" w:lineRule="auto"/>
        <w:rPr>
          <w:rFonts w:ascii="宋体" w:hAnsi="宋体"/>
          <w:color w:val="auto"/>
          <w:sz w:val="28"/>
          <w:szCs w:val="28"/>
          <w:highlight w:val="none"/>
        </w:rPr>
      </w:pPr>
      <w:r>
        <w:rPr>
          <w:rFonts w:ascii="宋体" w:hAnsi="宋体"/>
          <w:color w:val="auto"/>
          <w:sz w:val="28"/>
          <w:szCs w:val="28"/>
          <w:highlight w:val="none"/>
        </w:rPr>
        <w:t xml:space="preserve">4.3 </w:t>
      </w:r>
      <w:r>
        <w:rPr>
          <w:rFonts w:hint="eastAsia" w:ascii="宋体" w:hAnsi="宋体"/>
          <w:color w:val="auto"/>
          <w:sz w:val="28"/>
          <w:szCs w:val="28"/>
          <w:highlight w:val="none"/>
        </w:rPr>
        <w:t>投标文件的修改与撤回</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4.3.1</w:t>
      </w:r>
      <w:r>
        <w:rPr>
          <w:rFonts w:hint="eastAsia" w:ascii="宋体" w:hAnsi="宋体"/>
          <w:color w:val="auto"/>
          <w:szCs w:val="21"/>
          <w:highlight w:val="none"/>
        </w:rPr>
        <w:t>投标截止时间前，投标人可以修改或撤回已提交的投标文件，但应以书面形式通知采购人。</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4.3.2</w:t>
      </w:r>
      <w:r>
        <w:rPr>
          <w:rFonts w:hint="eastAsia" w:ascii="宋体" w:hAnsi="宋体"/>
          <w:color w:val="auto"/>
          <w:szCs w:val="21"/>
          <w:highlight w:val="none"/>
        </w:rPr>
        <w:t>投标人修改或撤回已提交投标文件的书面通知应按照本章第</w:t>
      </w:r>
      <w:r>
        <w:rPr>
          <w:rFonts w:ascii="宋体" w:hAnsi="宋体"/>
          <w:color w:val="auto"/>
          <w:szCs w:val="21"/>
          <w:highlight w:val="none"/>
        </w:rPr>
        <w:t>3.7.4</w:t>
      </w:r>
      <w:r>
        <w:rPr>
          <w:rFonts w:hint="eastAsia" w:ascii="宋体" w:hAnsi="宋体"/>
          <w:color w:val="auto"/>
          <w:szCs w:val="21"/>
          <w:highlight w:val="none"/>
        </w:rPr>
        <w:t>项的要求签字和盖章。</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4.3.3</w:t>
      </w:r>
      <w:r>
        <w:rPr>
          <w:rFonts w:hint="eastAsia" w:ascii="宋体" w:hAnsi="宋体"/>
          <w:color w:val="auto"/>
          <w:szCs w:val="21"/>
          <w:highlight w:val="none"/>
        </w:rPr>
        <w:t>修改的内容为投标文件的组成部分。修改的投标文件应按照本章第</w:t>
      </w:r>
      <w:r>
        <w:rPr>
          <w:rFonts w:ascii="宋体" w:hAnsi="宋体"/>
          <w:color w:val="auto"/>
          <w:szCs w:val="21"/>
          <w:highlight w:val="none"/>
        </w:rPr>
        <w:t>3</w:t>
      </w:r>
      <w:r>
        <w:rPr>
          <w:rFonts w:hint="eastAsia" w:ascii="宋体" w:hAnsi="宋体"/>
          <w:color w:val="auto"/>
          <w:szCs w:val="21"/>
          <w:highlight w:val="none"/>
        </w:rPr>
        <w:t>条和第</w:t>
      </w:r>
      <w:r>
        <w:rPr>
          <w:rFonts w:ascii="宋体" w:hAnsi="宋体"/>
          <w:color w:val="auto"/>
          <w:szCs w:val="21"/>
          <w:highlight w:val="none"/>
        </w:rPr>
        <w:t>4</w:t>
      </w:r>
      <w:r>
        <w:rPr>
          <w:rFonts w:hint="eastAsia" w:ascii="宋体" w:hAnsi="宋体"/>
          <w:color w:val="auto"/>
          <w:szCs w:val="21"/>
          <w:highlight w:val="none"/>
        </w:rPr>
        <w:t>条规定进行编制、密封、标记和提交，并标明“修改”字样。</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 xml:space="preserve">.3.4 </w:t>
      </w:r>
      <w:r>
        <w:rPr>
          <w:rFonts w:hint="eastAsia" w:ascii="宋体" w:hAnsi="宋体"/>
          <w:color w:val="auto"/>
          <w:szCs w:val="21"/>
          <w:highlight w:val="none"/>
        </w:rPr>
        <w:t>投标人</w:t>
      </w:r>
      <w:r>
        <w:rPr>
          <w:rFonts w:ascii="宋体" w:hAnsi="宋体"/>
          <w:color w:val="auto"/>
          <w:szCs w:val="21"/>
          <w:highlight w:val="none"/>
        </w:rPr>
        <w:t>不得在</w:t>
      </w:r>
      <w:r>
        <w:rPr>
          <w:rFonts w:hint="eastAsia" w:ascii="宋体" w:hAnsi="宋体"/>
          <w:color w:val="auto"/>
          <w:szCs w:val="21"/>
          <w:highlight w:val="none"/>
        </w:rPr>
        <w:t>投标</w:t>
      </w:r>
      <w:r>
        <w:rPr>
          <w:rFonts w:ascii="宋体" w:hAnsi="宋体"/>
          <w:color w:val="auto"/>
          <w:szCs w:val="21"/>
          <w:highlight w:val="none"/>
        </w:rPr>
        <w:t>文件有效期期满前撤销</w:t>
      </w:r>
      <w:r>
        <w:rPr>
          <w:rFonts w:hint="eastAsia" w:ascii="宋体" w:hAnsi="宋体"/>
          <w:color w:val="auto"/>
          <w:szCs w:val="21"/>
          <w:highlight w:val="none"/>
        </w:rPr>
        <w:t>投标</w:t>
      </w:r>
      <w:r>
        <w:rPr>
          <w:rFonts w:ascii="宋体" w:hAnsi="宋体"/>
          <w:color w:val="auto"/>
          <w:szCs w:val="21"/>
          <w:highlight w:val="none"/>
        </w:rPr>
        <w:t>文件</w:t>
      </w:r>
      <w:r>
        <w:rPr>
          <w:rFonts w:hint="eastAsia" w:ascii="宋体" w:hAnsi="宋体"/>
          <w:color w:val="auto"/>
          <w:szCs w:val="21"/>
          <w:highlight w:val="none"/>
        </w:rPr>
        <w:t>。</w:t>
      </w:r>
    </w:p>
    <w:p>
      <w:pPr>
        <w:pStyle w:val="3"/>
        <w:keepNext w:val="0"/>
        <w:keepLines w:val="0"/>
        <w:spacing w:line="360" w:lineRule="auto"/>
        <w:rPr>
          <w:rFonts w:ascii="宋体" w:hAnsi="宋体" w:eastAsia="宋体"/>
          <w:b w:val="0"/>
          <w:color w:val="auto"/>
          <w:sz w:val="30"/>
          <w:szCs w:val="30"/>
          <w:highlight w:val="none"/>
        </w:rPr>
      </w:pPr>
      <w:bookmarkStart w:id="44" w:name="_Toc466881192"/>
      <w:bookmarkStart w:id="45" w:name="_Toc4361"/>
      <w:bookmarkStart w:id="46" w:name="_Toc448129433"/>
      <w:bookmarkStart w:id="47" w:name="_Toc509328908"/>
      <w:bookmarkStart w:id="48" w:name="_Toc503862610"/>
      <w:r>
        <w:rPr>
          <w:rFonts w:ascii="宋体" w:hAnsi="宋体" w:eastAsia="宋体"/>
          <w:b w:val="0"/>
          <w:color w:val="auto"/>
          <w:sz w:val="30"/>
          <w:szCs w:val="30"/>
          <w:highlight w:val="none"/>
        </w:rPr>
        <w:t>5．开标</w:t>
      </w:r>
      <w:bookmarkEnd w:id="44"/>
      <w:bookmarkEnd w:id="45"/>
      <w:bookmarkEnd w:id="46"/>
      <w:bookmarkEnd w:id="47"/>
      <w:bookmarkEnd w:id="48"/>
    </w:p>
    <w:p>
      <w:pPr>
        <w:spacing w:line="360" w:lineRule="auto"/>
        <w:rPr>
          <w:rFonts w:ascii="宋体" w:hAnsi="宋体"/>
          <w:color w:val="auto"/>
          <w:sz w:val="28"/>
          <w:szCs w:val="28"/>
          <w:highlight w:val="none"/>
        </w:rPr>
      </w:pPr>
      <w:r>
        <w:rPr>
          <w:rFonts w:ascii="宋体" w:hAnsi="宋体"/>
          <w:color w:val="auto"/>
          <w:sz w:val="28"/>
          <w:szCs w:val="28"/>
          <w:highlight w:val="none"/>
        </w:rPr>
        <w:t xml:space="preserve">5.1 </w:t>
      </w:r>
      <w:r>
        <w:rPr>
          <w:rFonts w:hint="eastAsia" w:ascii="宋体" w:hAnsi="宋体"/>
          <w:color w:val="auto"/>
          <w:sz w:val="28"/>
          <w:szCs w:val="28"/>
          <w:highlight w:val="none"/>
        </w:rPr>
        <w:t>开标准备</w:t>
      </w:r>
    </w:p>
    <w:p>
      <w:pPr>
        <w:spacing w:line="360" w:lineRule="auto"/>
        <w:ind w:firstLine="411" w:firstLineChars="196"/>
        <w:rPr>
          <w:rFonts w:ascii="宋体" w:hAnsi="宋体"/>
          <w:color w:val="auto"/>
          <w:highlight w:val="none"/>
        </w:rPr>
      </w:pPr>
      <w:r>
        <w:rPr>
          <w:rFonts w:ascii="宋体" w:hAnsi="宋体"/>
          <w:color w:val="auto"/>
          <w:szCs w:val="21"/>
          <w:highlight w:val="none"/>
        </w:rPr>
        <w:t>5.1.1</w:t>
      </w:r>
      <w:r>
        <w:rPr>
          <w:rFonts w:hint="eastAsia" w:ascii="宋体" w:hAnsi="宋体"/>
          <w:bCs/>
          <w:color w:val="auto"/>
          <w:highlight w:val="none"/>
        </w:rPr>
        <w:t>采购代理机构</w:t>
      </w:r>
      <w:r>
        <w:rPr>
          <w:rFonts w:ascii="宋体" w:hAnsi="宋体"/>
          <w:bCs/>
          <w:color w:val="auto"/>
          <w:highlight w:val="none"/>
        </w:rPr>
        <w:t>将在招标文件中规定的日期、时间和地点组织开标</w:t>
      </w:r>
      <w:r>
        <w:rPr>
          <w:rFonts w:hint="eastAsia" w:ascii="宋体" w:hAnsi="宋体"/>
          <w:bCs/>
          <w:color w:val="auto"/>
          <w:highlight w:val="none"/>
        </w:rPr>
        <w:t>。投标人代表要求见投标人须知前附表。</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5.1.2</w:t>
      </w:r>
      <w:r>
        <w:rPr>
          <w:rFonts w:hint="eastAsia" w:ascii="宋体" w:hAnsi="宋体"/>
          <w:color w:val="auto"/>
          <w:szCs w:val="21"/>
          <w:highlight w:val="none"/>
        </w:rPr>
        <w:t>开标前，根据投标人须知前附表规定，由投标人代表对投标文件密封情况和完整性等是否符合招标文件要求进行检查。</w:t>
      </w:r>
    </w:p>
    <w:p>
      <w:pPr>
        <w:spacing w:line="360" w:lineRule="auto"/>
        <w:rPr>
          <w:rFonts w:ascii="宋体" w:hAnsi="宋体"/>
          <w:color w:val="auto"/>
          <w:sz w:val="28"/>
          <w:szCs w:val="28"/>
          <w:highlight w:val="none"/>
        </w:rPr>
      </w:pPr>
      <w:r>
        <w:rPr>
          <w:rFonts w:ascii="宋体" w:hAnsi="宋体"/>
          <w:color w:val="auto"/>
          <w:sz w:val="28"/>
          <w:szCs w:val="28"/>
          <w:highlight w:val="none"/>
        </w:rPr>
        <w:t>5.2拒绝接收</w:t>
      </w:r>
    </w:p>
    <w:p>
      <w:pPr>
        <w:spacing w:line="360" w:lineRule="auto"/>
        <w:ind w:firstLine="420" w:firstLineChars="200"/>
        <w:rPr>
          <w:rFonts w:ascii="宋体" w:hAnsi="宋体"/>
          <w:color w:val="auto"/>
          <w:highlight w:val="none"/>
        </w:rPr>
      </w:pPr>
      <w:r>
        <w:rPr>
          <w:rFonts w:hint="eastAsia" w:ascii="宋体" w:hAnsi="宋体"/>
          <w:color w:val="auto"/>
          <w:highlight w:val="none"/>
        </w:rPr>
        <w:t>投标人有下列情形之一的，采购人应当拒绝接收：</w:t>
      </w:r>
    </w:p>
    <w:p>
      <w:pPr>
        <w:spacing w:line="360" w:lineRule="auto"/>
        <w:ind w:firstLine="420" w:firstLineChars="200"/>
        <w:rPr>
          <w:rFonts w:ascii="宋体" w:hAnsi="宋体"/>
          <w:color w:val="auto"/>
          <w:highlight w:val="none"/>
        </w:rPr>
      </w:pPr>
      <w:r>
        <w:rPr>
          <w:rFonts w:ascii="宋体" w:hAnsi="宋体"/>
          <w:color w:val="auto"/>
          <w:highlight w:val="none"/>
        </w:rPr>
        <w:t xml:space="preserve">5.2.1 </w:t>
      </w:r>
      <w:r>
        <w:rPr>
          <w:rFonts w:hint="eastAsia" w:ascii="宋体" w:hAnsi="宋体"/>
          <w:color w:val="auto"/>
          <w:highlight w:val="none"/>
        </w:rPr>
        <w:t>投标文件逾期送达或者未送达指定地点的；</w:t>
      </w:r>
    </w:p>
    <w:p>
      <w:pPr>
        <w:spacing w:line="360" w:lineRule="auto"/>
        <w:ind w:firstLine="420" w:firstLineChars="200"/>
        <w:rPr>
          <w:rFonts w:ascii="宋体" w:hAnsi="宋体"/>
          <w:color w:val="auto"/>
          <w:highlight w:val="none"/>
        </w:rPr>
      </w:pPr>
      <w:r>
        <w:rPr>
          <w:rFonts w:ascii="宋体" w:hAnsi="宋体"/>
          <w:color w:val="auto"/>
          <w:highlight w:val="none"/>
        </w:rPr>
        <w:t xml:space="preserve">5.2.2 </w:t>
      </w:r>
      <w:r>
        <w:rPr>
          <w:rFonts w:hint="eastAsia" w:ascii="宋体" w:hAnsi="宋体"/>
          <w:color w:val="auto"/>
          <w:highlight w:val="none"/>
        </w:rPr>
        <w:t>投标文件未按照招标文件要求密封的。</w:t>
      </w:r>
    </w:p>
    <w:p>
      <w:pPr>
        <w:spacing w:line="360" w:lineRule="auto"/>
        <w:rPr>
          <w:rFonts w:ascii="宋体" w:hAnsi="宋体"/>
          <w:color w:val="auto"/>
          <w:sz w:val="28"/>
          <w:szCs w:val="28"/>
          <w:highlight w:val="none"/>
        </w:rPr>
      </w:pPr>
      <w:r>
        <w:rPr>
          <w:rFonts w:ascii="宋体" w:hAnsi="宋体"/>
          <w:color w:val="auto"/>
          <w:sz w:val="28"/>
          <w:szCs w:val="28"/>
          <w:highlight w:val="none"/>
        </w:rPr>
        <w:t xml:space="preserve">5.3 </w:t>
      </w:r>
      <w:r>
        <w:rPr>
          <w:rFonts w:hint="eastAsia" w:ascii="宋体" w:hAnsi="宋体"/>
          <w:color w:val="auto"/>
          <w:sz w:val="28"/>
          <w:szCs w:val="28"/>
          <w:highlight w:val="none"/>
        </w:rPr>
        <w:t>开标程序</w:t>
      </w:r>
    </w:p>
    <w:p>
      <w:pPr>
        <w:spacing w:line="360" w:lineRule="auto"/>
        <w:ind w:firstLine="462" w:firstLineChars="220"/>
        <w:rPr>
          <w:rFonts w:ascii="宋体" w:hAnsi="宋体"/>
          <w:color w:val="auto"/>
          <w:szCs w:val="21"/>
          <w:highlight w:val="none"/>
        </w:rPr>
      </w:pPr>
      <w:r>
        <w:rPr>
          <w:rFonts w:hint="eastAsia" w:ascii="宋体" w:hAnsi="宋体"/>
          <w:color w:val="auto"/>
          <w:szCs w:val="21"/>
          <w:highlight w:val="none"/>
        </w:rPr>
        <w:t>采购人在投标人须知前附表规定的投标截止时间</w:t>
      </w:r>
      <w:r>
        <w:rPr>
          <w:rFonts w:ascii="宋体" w:hAnsi="宋体"/>
          <w:color w:val="auto"/>
          <w:szCs w:val="21"/>
          <w:highlight w:val="none"/>
        </w:rPr>
        <w:t>(开标时间)和开标地点公开开标。开标由采购代理机构主持，按下列主要程序进行：</w:t>
      </w:r>
    </w:p>
    <w:p>
      <w:pPr>
        <w:spacing w:line="360" w:lineRule="auto"/>
        <w:ind w:firstLine="357" w:firstLineChars="17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）主持人宣布开标纪律；</w:t>
      </w:r>
    </w:p>
    <w:p>
      <w:pPr>
        <w:spacing w:line="360" w:lineRule="auto"/>
        <w:ind w:firstLine="357" w:firstLineChars="17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）公布在投标截止时间前递交投标文件的投标人名称；</w:t>
      </w:r>
    </w:p>
    <w:p>
      <w:pPr>
        <w:spacing w:line="360" w:lineRule="auto"/>
        <w:ind w:firstLine="357" w:firstLineChars="17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3）宣布对投标文件的密封情况查验结果；</w:t>
      </w:r>
    </w:p>
    <w:p>
      <w:pPr>
        <w:spacing w:line="360" w:lineRule="auto"/>
        <w:ind w:firstLine="357" w:firstLineChars="17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4）按照投标人须知前附表的规定宣布投标文件的开标顺序；</w:t>
      </w:r>
    </w:p>
    <w:p>
      <w:pPr>
        <w:spacing w:line="360" w:lineRule="auto"/>
        <w:ind w:firstLine="357" w:firstLineChars="17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5）按照宣布的开标顺序当众开标并记录在案；</w:t>
      </w:r>
    </w:p>
    <w:p>
      <w:pPr>
        <w:spacing w:line="360" w:lineRule="auto"/>
        <w:ind w:firstLine="357" w:firstLineChars="17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6）征询对开标过程是否持有异议</w:t>
      </w:r>
      <w:r>
        <w:rPr>
          <w:rFonts w:hint="eastAsia" w:ascii="宋体" w:hAnsi="宋体"/>
          <w:color w:val="auto"/>
          <w:szCs w:val="21"/>
          <w:highlight w:val="none"/>
        </w:rPr>
        <w:t>，投标人对开标有异议的，应当场提出，招标人应当场做出答复，并制作记录</w:t>
      </w:r>
      <w:r>
        <w:rPr>
          <w:rFonts w:ascii="宋体" w:hAnsi="宋体"/>
          <w:color w:val="auto"/>
          <w:szCs w:val="21"/>
          <w:highlight w:val="none"/>
        </w:rPr>
        <w:t xml:space="preserve">； </w:t>
      </w:r>
    </w:p>
    <w:p>
      <w:pPr>
        <w:spacing w:line="360" w:lineRule="auto"/>
        <w:ind w:firstLine="357" w:firstLineChars="17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7）投标人代表、采购人等有关人员在开标记录上签字确认；</w:t>
      </w:r>
    </w:p>
    <w:p>
      <w:pPr>
        <w:spacing w:line="360" w:lineRule="auto"/>
        <w:ind w:firstLine="357" w:firstLineChars="17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8）</w:t>
      </w:r>
      <w:r>
        <w:rPr>
          <w:rFonts w:hint="eastAsia" w:ascii="宋体" w:hAnsi="宋体"/>
          <w:color w:val="auto"/>
          <w:highlight w:val="none"/>
        </w:rPr>
        <w:t>开标结束。</w:t>
      </w:r>
    </w:p>
    <w:p>
      <w:pPr>
        <w:pStyle w:val="3"/>
        <w:keepNext w:val="0"/>
        <w:keepLines w:val="0"/>
        <w:spacing w:line="360" w:lineRule="auto"/>
        <w:rPr>
          <w:rFonts w:ascii="宋体" w:hAnsi="宋体" w:eastAsia="宋体" w:cs="宋体"/>
          <w:b w:val="0"/>
          <w:color w:val="auto"/>
          <w:sz w:val="30"/>
          <w:szCs w:val="30"/>
          <w:highlight w:val="none"/>
        </w:rPr>
      </w:pPr>
      <w:bookmarkStart w:id="49" w:name="_Toc503862611"/>
      <w:bookmarkStart w:id="50" w:name="_Toc26331"/>
      <w:bookmarkStart w:id="51" w:name="_Toc509328909"/>
      <w:bookmarkStart w:id="52" w:name="_Toc448129434"/>
      <w:bookmarkStart w:id="53" w:name="_Toc466881193"/>
      <w:r>
        <w:rPr>
          <w:rFonts w:ascii="宋体" w:hAnsi="宋体" w:eastAsia="宋体"/>
          <w:b w:val="0"/>
          <w:color w:val="auto"/>
          <w:sz w:val="30"/>
          <w:szCs w:val="30"/>
          <w:highlight w:val="none"/>
        </w:rPr>
        <w:t>6．评标</w:t>
      </w:r>
      <w:bookmarkEnd w:id="49"/>
      <w:bookmarkEnd w:id="50"/>
      <w:bookmarkEnd w:id="51"/>
      <w:bookmarkEnd w:id="52"/>
      <w:bookmarkEnd w:id="53"/>
    </w:p>
    <w:p>
      <w:pPr>
        <w:spacing w:line="360" w:lineRule="auto"/>
        <w:rPr>
          <w:rFonts w:ascii="宋体" w:hAnsi="宋体"/>
          <w:color w:val="auto"/>
          <w:sz w:val="28"/>
          <w:szCs w:val="28"/>
          <w:highlight w:val="none"/>
        </w:rPr>
      </w:pPr>
      <w:r>
        <w:rPr>
          <w:rFonts w:ascii="宋体" w:hAnsi="宋体"/>
          <w:color w:val="auto"/>
          <w:sz w:val="28"/>
          <w:szCs w:val="28"/>
          <w:highlight w:val="none"/>
        </w:rPr>
        <w:t xml:space="preserve">6.1 </w:t>
      </w:r>
      <w:r>
        <w:rPr>
          <w:rFonts w:hint="eastAsia" w:ascii="宋体" w:hAnsi="宋体"/>
          <w:color w:val="auto"/>
          <w:sz w:val="28"/>
          <w:szCs w:val="28"/>
          <w:highlight w:val="none"/>
        </w:rPr>
        <w:t>评标委员会</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 xml:space="preserve">6.1.1 </w:t>
      </w:r>
      <w:r>
        <w:rPr>
          <w:rFonts w:hint="eastAsia" w:ascii="宋体" w:hAnsi="宋体"/>
          <w:color w:val="auto"/>
          <w:szCs w:val="21"/>
          <w:highlight w:val="none"/>
        </w:rPr>
        <w:t>评标由采购人依法组建的评标委员会负责。评标委员会组成见投标人须知前附表。采购人的评标代表需从事相关专业领域工作，具有中级及以上职称，熟悉有关招标投标法律法规，且不得存在与招投标业务相关的不良诚信记录或违法违规的行为记录。</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 xml:space="preserve">6.1.2 </w:t>
      </w:r>
      <w:r>
        <w:rPr>
          <w:rFonts w:hint="eastAsia" w:ascii="宋体" w:hAnsi="宋体"/>
          <w:color w:val="auto"/>
          <w:szCs w:val="21"/>
          <w:highlight w:val="none"/>
        </w:rPr>
        <w:t>评标委员会成员有下列情形之一的，应主动提出回避：</w:t>
      </w:r>
    </w:p>
    <w:p>
      <w:pPr>
        <w:spacing w:line="360" w:lineRule="auto"/>
        <w:ind w:firstLine="512" w:firstLineChars="244"/>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）投标人或投标人主要负责人的近亲属；</w:t>
      </w:r>
    </w:p>
    <w:p>
      <w:pPr>
        <w:spacing w:line="360" w:lineRule="auto"/>
        <w:ind w:firstLine="514" w:firstLineChars="245"/>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）项目主管部门或者行政监督部门人员；</w:t>
      </w:r>
    </w:p>
    <w:p>
      <w:pPr>
        <w:spacing w:line="360" w:lineRule="auto"/>
        <w:ind w:firstLine="514" w:firstLineChars="245"/>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）与投标人有经济利益关系，可能对投标公正评审产生影响的；</w:t>
      </w:r>
    </w:p>
    <w:p>
      <w:pPr>
        <w:spacing w:line="360" w:lineRule="auto"/>
        <w:ind w:firstLine="514" w:firstLineChars="245"/>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）曾因在招标、评标以及其他与招投标有关活动中从事违法行为而受过行政处罚或刑事处罚的。</w:t>
      </w:r>
    </w:p>
    <w:p>
      <w:pPr>
        <w:spacing w:line="360" w:lineRule="auto"/>
        <w:rPr>
          <w:rFonts w:ascii="宋体" w:hAnsi="宋体"/>
          <w:color w:val="auto"/>
          <w:sz w:val="28"/>
          <w:szCs w:val="28"/>
          <w:highlight w:val="none"/>
        </w:rPr>
      </w:pPr>
      <w:r>
        <w:rPr>
          <w:rFonts w:ascii="宋体" w:hAnsi="宋体"/>
          <w:color w:val="auto"/>
          <w:sz w:val="28"/>
          <w:szCs w:val="28"/>
          <w:highlight w:val="none"/>
        </w:rPr>
        <w:t xml:space="preserve">6.2 </w:t>
      </w:r>
      <w:r>
        <w:rPr>
          <w:rFonts w:hint="eastAsia" w:ascii="宋体" w:hAnsi="宋体"/>
          <w:color w:val="auto"/>
          <w:sz w:val="28"/>
          <w:szCs w:val="28"/>
          <w:highlight w:val="none"/>
        </w:rPr>
        <w:t>评标原则</w:t>
      </w:r>
      <w:r>
        <w:rPr>
          <w:rFonts w:ascii="宋体" w:hAnsi="宋体"/>
          <w:color w:val="auto"/>
          <w:sz w:val="28"/>
          <w:szCs w:val="28"/>
          <w:highlight w:val="none"/>
        </w:rPr>
        <w:tab/>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评标活动遵循公平、公正、科学和择优的原则。</w:t>
      </w:r>
    </w:p>
    <w:p>
      <w:pPr>
        <w:spacing w:line="360" w:lineRule="auto"/>
        <w:rPr>
          <w:rFonts w:ascii="宋体" w:hAnsi="宋体"/>
          <w:color w:val="auto"/>
          <w:sz w:val="28"/>
          <w:szCs w:val="28"/>
          <w:highlight w:val="none"/>
        </w:rPr>
      </w:pPr>
      <w:r>
        <w:rPr>
          <w:rFonts w:ascii="宋体" w:hAnsi="宋体"/>
          <w:color w:val="auto"/>
          <w:sz w:val="28"/>
          <w:szCs w:val="28"/>
          <w:highlight w:val="none"/>
        </w:rPr>
        <w:t xml:space="preserve">6.3 </w:t>
      </w:r>
      <w:r>
        <w:rPr>
          <w:rFonts w:hint="eastAsia" w:ascii="宋体" w:hAnsi="宋体"/>
          <w:color w:val="auto"/>
          <w:sz w:val="28"/>
          <w:szCs w:val="28"/>
          <w:highlight w:val="none"/>
        </w:rPr>
        <w:t>评标</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6.3.1</w:t>
      </w:r>
      <w:r>
        <w:rPr>
          <w:rFonts w:hint="eastAsia" w:ascii="宋体" w:hAnsi="宋体"/>
          <w:color w:val="auto"/>
          <w:szCs w:val="21"/>
          <w:highlight w:val="none"/>
        </w:rPr>
        <w:t>评标委员会按照第三章“评标办法”规定的方法、评审因素、标准和程序对投标文件进行评审。</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6.3.2投标文件的澄清、说明：</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在评标过程中，评标委员会可以书面形式要求投标人对所提交投标文件中含义不明确、对同类问题表述不一致或者有明显文字和计算错误的内容进行书面澄清、说明。评标委员会不接受投标人主动提出的澄清、说明。</w:t>
      </w:r>
    </w:p>
    <w:p>
      <w:pPr>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2）澄清、说明不得改变投标文件的实质性内容（算术性错误修正的除外）。投标人澄清、</w:t>
      </w:r>
      <w:r>
        <w:rPr>
          <w:rFonts w:hint="eastAsia" w:ascii="宋体" w:hAnsi="宋体" w:cs="宋体"/>
          <w:color w:val="auto"/>
          <w:szCs w:val="21"/>
          <w:highlight w:val="none"/>
        </w:rPr>
        <w:t>说明属于投标文件的组成部分。</w:t>
      </w:r>
    </w:p>
    <w:p>
      <w:pPr>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3）评标委员会对投标人提交的澄清、说明有疑问的，可以要求投标人进一步澄清、说明，直至满足评标委员会的要求。</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6.3.3评标委员会负责人在评标委员会中产生，评标委员会完成评标后，应当向采购人提出书面评标报告。评标委员会成员在评审意见表、评分表、评分汇总表及评标委员会形成的书面评标报告上签字。</w:t>
      </w:r>
    </w:p>
    <w:p>
      <w:pPr>
        <w:pStyle w:val="3"/>
        <w:keepNext w:val="0"/>
        <w:keepLines w:val="0"/>
        <w:spacing w:line="360" w:lineRule="auto"/>
        <w:rPr>
          <w:rFonts w:ascii="宋体" w:hAnsi="宋体" w:eastAsia="宋体"/>
          <w:b w:val="0"/>
          <w:color w:val="auto"/>
          <w:sz w:val="30"/>
          <w:szCs w:val="30"/>
          <w:highlight w:val="none"/>
        </w:rPr>
      </w:pPr>
      <w:bookmarkStart w:id="54" w:name="_Toc466881194"/>
      <w:bookmarkStart w:id="55" w:name="_Toc503862612"/>
      <w:bookmarkStart w:id="56" w:name="_Toc448129435"/>
      <w:bookmarkStart w:id="57" w:name="_Toc509328910"/>
      <w:bookmarkStart w:id="58" w:name="_Toc6354"/>
      <w:r>
        <w:rPr>
          <w:rFonts w:ascii="宋体" w:hAnsi="宋体" w:eastAsia="宋体"/>
          <w:b w:val="0"/>
          <w:color w:val="auto"/>
          <w:sz w:val="30"/>
          <w:szCs w:val="30"/>
          <w:highlight w:val="none"/>
        </w:rPr>
        <w:t>7．合同授予</w:t>
      </w:r>
      <w:bookmarkEnd w:id="54"/>
      <w:bookmarkEnd w:id="55"/>
      <w:bookmarkEnd w:id="56"/>
      <w:bookmarkEnd w:id="57"/>
      <w:bookmarkEnd w:id="58"/>
    </w:p>
    <w:p>
      <w:pPr>
        <w:spacing w:line="360" w:lineRule="auto"/>
        <w:rPr>
          <w:rFonts w:ascii="宋体" w:hAnsi="宋体"/>
          <w:color w:val="auto"/>
          <w:sz w:val="28"/>
          <w:szCs w:val="28"/>
          <w:highlight w:val="none"/>
        </w:rPr>
      </w:pPr>
      <w:r>
        <w:rPr>
          <w:rFonts w:ascii="宋体" w:hAnsi="宋体"/>
          <w:color w:val="auto"/>
          <w:sz w:val="28"/>
          <w:szCs w:val="28"/>
          <w:highlight w:val="none"/>
        </w:rPr>
        <w:t xml:space="preserve">7.1 </w:t>
      </w:r>
      <w:r>
        <w:rPr>
          <w:rFonts w:hint="eastAsia" w:ascii="宋体" w:hAnsi="宋体"/>
          <w:color w:val="auto"/>
          <w:sz w:val="28"/>
          <w:szCs w:val="28"/>
          <w:highlight w:val="none"/>
        </w:rPr>
        <w:t>定标方式</w:t>
      </w:r>
    </w:p>
    <w:p>
      <w:pPr>
        <w:spacing w:line="360" w:lineRule="auto"/>
        <w:ind w:firstLine="411" w:firstLineChars="196"/>
        <w:rPr>
          <w:rFonts w:ascii="宋体" w:hAnsi="宋体"/>
          <w:color w:val="auto"/>
          <w:szCs w:val="21"/>
          <w:highlight w:val="none"/>
        </w:rPr>
      </w:pPr>
      <w:r>
        <w:rPr>
          <w:rFonts w:ascii="宋体" w:hAnsi="宋体"/>
          <w:color w:val="auto"/>
          <w:highlight w:val="none"/>
        </w:rPr>
        <w:t>7.1.1</w:t>
      </w:r>
      <w:r>
        <w:rPr>
          <w:rFonts w:hint="eastAsia" w:ascii="宋体" w:hAnsi="宋体"/>
          <w:color w:val="auto"/>
          <w:szCs w:val="21"/>
          <w:highlight w:val="none"/>
        </w:rPr>
        <w:t>除投标人须知前附表规定评标委员会直接确定中标人外，采购人依据评标委员会推荐的中标候选人顺序确定中标人。评标委员会推荐中标候选人的数量见投标人须知前附表。</w:t>
      </w:r>
    </w:p>
    <w:p>
      <w:pPr>
        <w:spacing w:line="360" w:lineRule="auto"/>
        <w:ind w:firstLine="411" w:firstLineChars="196"/>
        <w:rPr>
          <w:rFonts w:ascii="宋体" w:hAnsi="宋体"/>
          <w:color w:val="auto"/>
          <w:highlight w:val="none"/>
        </w:rPr>
      </w:pPr>
      <w:r>
        <w:rPr>
          <w:rFonts w:ascii="宋体" w:hAnsi="宋体"/>
          <w:color w:val="auto"/>
          <w:highlight w:val="none"/>
        </w:rPr>
        <w:t>7.1.2定标后，如发现</w:t>
      </w:r>
      <w:r>
        <w:rPr>
          <w:rFonts w:hint="eastAsia" w:ascii="宋体" w:hAnsi="宋体"/>
          <w:color w:val="auto"/>
          <w:szCs w:val="21"/>
          <w:highlight w:val="none"/>
        </w:rPr>
        <w:t>中标人的</w:t>
      </w:r>
      <w:r>
        <w:rPr>
          <w:rFonts w:hint="eastAsia" w:ascii="宋体" w:hAnsi="宋体"/>
          <w:color w:val="auto"/>
          <w:highlight w:val="none"/>
        </w:rPr>
        <w:t>中标项目经理存在</w:t>
      </w:r>
      <w:r>
        <w:rPr>
          <w:rFonts w:hint="eastAsia" w:ascii="宋体" w:hAnsi="宋体"/>
          <w:color w:val="auto"/>
          <w:szCs w:val="21"/>
          <w:highlight w:val="none"/>
        </w:rPr>
        <w:t>担任其他在建建设工程项目的项目经理</w:t>
      </w:r>
      <w:r>
        <w:rPr>
          <w:rFonts w:hint="eastAsia" w:ascii="宋体" w:hAnsi="宋体"/>
          <w:color w:val="auto"/>
          <w:highlight w:val="none"/>
        </w:rPr>
        <w:t>情形，其中标资格将被取消。采购人可以按照评标委员会提出的中标候选人名单排序依次确定其他中标候选人为中标人，也可以重新招标。</w:t>
      </w:r>
    </w:p>
    <w:p>
      <w:pPr>
        <w:spacing w:line="360" w:lineRule="auto"/>
        <w:rPr>
          <w:rFonts w:ascii="宋体" w:hAnsi="宋体"/>
          <w:color w:val="auto"/>
          <w:sz w:val="28"/>
          <w:szCs w:val="28"/>
          <w:highlight w:val="none"/>
        </w:rPr>
      </w:pPr>
      <w:r>
        <w:rPr>
          <w:rFonts w:hint="eastAsia" w:ascii="宋体" w:hAnsi="宋体"/>
          <w:color w:val="auto"/>
          <w:sz w:val="28"/>
          <w:szCs w:val="28"/>
          <w:highlight w:val="none"/>
        </w:rPr>
        <w:t>7</w:t>
      </w:r>
      <w:r>
        <w:rPr>
          <w:rFonts w:ascii="宋体" w:hAnsi="宋体"/>
          <w:color w:val="auto"/>
          <w:sz w:val="28"/>
          <w:szCs w:val="28"/>
          <w:highlight w:val="none"/>
        </w:rPr>
        <w:t>.2</w:t>
      </w:r>
      <w:r>
        <w:rPr>
          <w:rFonts w:hint="eastAsia" w:ascii="宋体" w:hAnsi="宋体"/>
          <w:color w:val="auto"/>
          <w:sz w:val="28"/>
          <w:szCs w:val="28"/>
          <w:highlight w:val="none"/>
        </w:rPr>
        <w:t>中标公告</w:t>
      </w:r>
    </w:p>
    <w:p>
      <w:pPr>
        <w:spacing w:line="360" w:lineRule="auto"/>
        <w:rPr>
          <w:rFonts w:ascii="宋体" w:hAnsi="宋体"/>
          <w:color w:val="auto"/>
          <w:highlight w:val="none"/>
        </w:rPr>
      </w:pP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采购人</w:t>
      </w:r>
      <w:r>
        <w:rPr>
          <w:rFonts w:ascii="宋体" w:hAnsi="宋体"/>
          <w:color w:val="auto"/>
          <w:highlight w:val="none"/>
        </w:rPr>
        <w:t>或者</w:t>
      </w:r>
      <w:r>
        <w:rPr>
          <w:rFonts w:hint="eastAsia" w:ascii="宋体" w:hAnsi="宋体"/>
          <w:color w:val="auto"/>
          <w:highlight w:val="none"/>
        </w:rPr>
        <w:t>采购代理机构</w:t>
      </w:r>
      <w:r>
        <w:rPr>
          <w:rFonts w:ascii="宋体" w:hAnsi="宋体"/>
          <w:color w:val="auto"/>
          <w:highlight w:val="none"/>
        </w:rPr>
        <w:t>应当自中标人确定之日起2个工作日内，在省级以上财政部门指定的媒体上公告中标结果。</w:t>
      </w:r>
    </w:p>
    <w:p>
      <w:pPr>
        <w:spacing w:line="360" w:lineRule="auto"/>
        <w:rPr>
          <w:rFonts w:ascii="宋体" w:hAnsi="宋体"/>
          <w:color w:val="auto"/>
          <w:sz w:val="28"/>
          <w:szCs w:val="28"/>
          <w:highlight w:val="none"/>
        </w:rPr>
      </w:pPr>
      <w:r>
        <w:rPr>
          <w:rFonts w:ascii="宋体" w:hAnsi="宋体"/>
          <w:color w:val="auto"/>
          <w:sz w:val="28"/>
          <w:szCs w:val="28"/>
          <w:highlight w:val="none"/>
        </w:rPr>
        <w:t xml:space="preserve">7.3 </w:t>
      </w:r>
      <w:r>
        <w:rPr>
          <w:rFonts w:hint="eastAsia" w:ascii="宋体" w:hAnsi="宋体"/>
          <w:color w:val="auto"/>
          <w:sz w:val="28"/>
          <w:szCs w:val="28"/>
          <w:highlight w:val="none"/>
        </w:rPr>
        <w:t>中标通知书</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7.3.1</w:t>
      </w:r>
      <w:r>
        <w:rPr>
          <w:rFonts w:hint="eastAsia" w:ascii="宋体" w:hAnsi="宋体"/>
          <w:color w:val="auto"/>
          <w:szCs w:val="21"/>
          <w:highlight w:val="none"/>
        </w:rPr>
        <w:t>在本章第</w:t>
      </w:r>
      <w:r>
        <w:rPr>
          <w:rFonts w:ascii="宋体" w:hAnsi="宋体"/>
          <w:color w:val="auto"/>
          <w:szCs w:val="21"/>
          <w:highlight w:val="none"/>
        </w:rPr>
        <w:t>3.3.1项规定的投标有效期内，采购人以书面形式向中标人发出中标通知书，同时将中标结果通知未中标的投标人。</w:t>
      </w:r>
    </w:p>
    <w:p>
      <w:pPr>
        <w:spacing w:line="360" w:lineRule="auto"/>
        <w:ind w:firstLine="411" w:firstLineChars="196"/>
        <w:rPr>
          <w:rFonts w:ascii="宋体" w:hAnsi="宋体"/>
          <w:color w:val="auto"/>
          <w:highlight w:val="none"/>
        </w:rPr>
      </w:pPr>
      <w:r>
        <w:rPr>
          <w:rFonts w:ascii="宋体" w:hAnsi="宋体"/>
          <w:color w:val="auto"/>
          <w:szCs w:val="21"/>
          <w:highlight w:val="none"/>
        </w:rPr>
        <w:t>7.3.2中标候选人的经营、财务状况发生较大变化或者存在违法行为，采购人认为可能影响其履约能力的，应当在发出中标通知书前由原评标委员会按照招标文件规定的标准和方法审查确认。</w:t>
      </w:r>
    </w:p>
    <w:p>
      <w:pPr>
        <w:spacing w:line="360" w:lineRule="auto"/>
        <w:rPr>
          <w:rFonts w:ascii="宋体" w:hAnsi="宋体"/>
          <w:color w:val="auto"/>
          <w:sz w:val="28"/>
          <w:szCs w:val="28"/>
          <w:highlight w:val="none"/>
        </w:rPr>
      </w:pPr>
      <w:r>
        <w:rPr>
          <w:rFonts w:ascii="宋体" w:hAnsi="宋体"/>
          <w:color w:val="auto"/>
          <w:sz w:val="28"/>
          <w:szCs w:val="28"/>
          <w:highlight w:val="none"/>
        </w:rPr>
        <w:t xml:space="preserve">7.4 </w:t>
      </w:r>
      <w:r>
        <w:rPr>
          <w:rFonts w:hint="eastAsia" w:ascii="宋体" w:hAnsi="宋体"/>
          <w:color w:val="auto"/>
          <w:sz w:val="28"/>
          <w:szCs w:val="28"/>
          <w:highlight w:val="none"/>
        </w:rPr>
        <w:t>履约担保</w:t>
      </w:r>
    </w:p>
    <w:p>
      <w:pPr>
        <w:spacing w:line="360" w:lineRule="auto"/>
        <w:ind w:firstLine="367" w:firstLineChars="175"/>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4</w:t>
      </w:r>
      <w:r>
        <w:rPr>
          <w:rFonts w:hint="eastAsia" w:ascii="宋体" w:hAnsi="宋体"/>
          <w:color w:val="auto"/>
          <w:szCs w:val="21"/>
          <w:highlight w:val="none"/>
        </w:rPr>
        <w:t>.1在签订合同前，中标人应按投标人须知前附表规定的担保形式和投标文件第四章“合同条款及格式”规定的或者事先经过采购人书面认可的履约担保格式向采购人提交履约担保。除投标人须知前附表另有规定外，履约担保金额为中标合同金额的10％。联合体中标的，其履约担保由联合体各方或者联合体中牵头人的名义提交。</w:t>
      </w:r>
    </w:p>
    <w:p>
      <w:pPr>
        <w:spacing w:line="360" w:lineRule="auto"/>
        <w:ind w:firstLine="411" w:firstLineChars="196"/>
        <w:rPr>
          <w:rFonts w:ascii="宋体" w:hAnsi="宋体"/>
          <w:color w:val="auto"/>
          <w:highlight w:val="none"/>
        </w:rPr>
      </w:pPr>
      <w:r>
        <w:rPr>
          <w:rFonts w:hint="eastAsia" w:ascii="宋体" w:hAnsi="宋体"/>
          <w:color w:val="auto"/>
          <w:szCs w:val="21"/>
          <w:highlight w:val="none"/>
        </w:rPr>
        <w:t>7.</w:t>
      </w:r>
      <w:r>
        <w:rPr>
          <w:rFonts w:ascii="宋体" w:hAnsi="宋体"/>
          <w:color w:val="auto"/>
          <w:szCs w:val="21"/>
          <w:highlight w:val="none"/>
        </w:rPr>
        <w:t>4</w:t>
      </w:r>
      <w:r>
        <w:rPr>
          <w:rFonts w:hint="eastAsia" w:ascii="宋体" w:hAnsi="宋体"/>
          <w:color w:val="auto"/>
          <w:szCs w:val="21"/>
          <w:highlight w:val="none"/>
        </w:rPr>
        <w:t>.2采购人不能按本章第7.</w:t>
      </w:r>
      <w:r>
        <w:rPr>
          <w:rFonts w:ascii="宋体" w:hAnsi="宋体"/>
          <w:color w:val="auto"/>
          <w:szCs w:val="21"/>
          <w:highlight w:val="none"/>
        </w:rPr>
        <w:t>4</w:t>
      </w:r>
      <w:r>
        <w:rPr>
          <w:rFonts w:hint="eastAsia" w:ascii="宋体" w:hAnsi="宋体"/>
          <w:color w:val="auto"/>
          <w:szCs w:val="21"/>
          <w:highlight w:val="none"/>
        </w:rPr>
        <w:t>.1项要求提交履约担保的，视为放弃中标，其投标保证金不予退还，给采购人造成的损失超过投标保证金数额的，中标人还应当对超过部分予以赔偿。</w:t>
      </w:r>
    </w:p>
    <w:p>
      <w:pPr>
        <w:spacing w:line="360" w:lineRule="auto"/>
        <w:rPr>
          <w:rFonts w:ascii="宋体" w:hAnsi="宋体"/>
          <w:color w:val="auto"/>
          <w:sz w:val="28"/>
          <w:szCs w:val="28"/>
          <w:highlight w:val="none"/>
        </w:rPr>
      </w:pPr>
      <w:r>
        <w:rPr>
          <w:rFonts w:ascii="宋体" w:hAnsi="宋体"/>
          <w:color w:val="auto"/>
          <w:sz w:val="28"/>
          <w:szCs w:val="28"/>
          <w:highlight w:val="none"/>
        </w:rPr>
        <w:t xml:space="preserve">7.4 </w:t>
      </w:r>
      <w:r>
        <w:rPr>
          <w:rFonts w:hint="eastAsia" w:ascii="宋体" w:hAnsi="宋体"/>
          <w:color w:val="auto"/>
          <w:sz w:val="28"/>
          <w:szCs w:val="28"/>
          <w:highlight w:val="none"/>
        </w:rPr>
        <w:t>签订合同</w:t>
      </w:r>
    </w:p>
    <w:p>
      <w:pPr>
        <w:spacing w:line="360" w:lineRule="auto"/>
        <w:ind w:firstLine="420" w:firstLineChars="200"/>
        <w:rPr>
          <w:rFonts w:ascii="宋体" w:hAnsi="宋体"/>
          <w:color w:val="auto"/>
          <w:szCs w:val="21"/>
          <w:highlight w:val="none"/>
        </w:rPr>
      </w:pPr>
      <w:r>
        <w:rPr>
          <w:rFonts w:ascii="宋体" w:hAnsi="宋体"/>
          <w:vanish/>
          <w:color w:val="auto"/>
          <w:szCs w:val="21"/>
          <w:highlight w:val="none"/>
        </w:rPr>
        <w:pgNum/>
      </w:r>
      <w:r>
        <w:rPr>
          <w:rFonts w:ascii="宋体" w:hAnsi="宋体"/>
          <w:vanish/>
          <w:color w:val="auto"/>
          <w:szCs w:val="21"/>
          <w:highlight w:val="none"/>
        </w:rPr>
        <w:pgNum/>
      </w:r>
      <w:r>
        <w:rPr>
          <w:rFonts w:ascii="宋体" w:hAnsi="宋体"/>
          <w:color w:val="auto"/>
          <w:szCs w:val="21"/>
          <w:highlight w:val="none"/>
        </w:rPr>
        <w:t>7.4.1</w:t>
      </w:r>
      <w:r>
        <w:rPr>
          <w:rFonts w:hint="eastAsia" w:ascii="宋体" w:hAnsi="宋体"/>
          <w:color w:val="auto"/>
          <w:szCs w:val="21"/>
          <w:highlight w:val="none"/>
        </w:rPr>
        <w:t>采购人和中标人应当自中标通知书发出之日起</w:t>
      </w:r>
      <w:r>
        <w:rPr>
          <w:rFonts w:ascii="宋体" w:hAnsi="宋体"/>
          <w:color w:val="auto"/>
          <w:szCs w:val="21"/>
          <w:highlight w:val="none"/>
        </w:rPr>
        <w:t>30</w:t>
      </w:r>
      <w:r>
        <w:rPr>
          <w:rFonts w:hint="eastAsia" w:ascii="宋体" w:hAnsi="宋体"/>
          <w:color w:val="auto"/>
          <w:szCs w:val="21"/>
          <w:highlight w:val="none"/>
        </w:rPr>
        <w:t>天内，根据招标文件和中标人的投标文件订立书面合同。中标人无正当理由拒签合同的，采购人有权取消其中标资格，其投标保证金不予退还；给采购人造成的损失超过投标保证金数额的，中标人还应当对超过部分予以赔偿。</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 xml:space="preserve">7.4.2 </w:t>
      </w:r>
      <w:r>
        <w:rPr>
          <w:rFonts w:hint="eastAsia" w:ascii="宋体" w:hAnsi="宋体"/>
          <w:color w:val="auto"/>
          <w:szCs w:val="21"/>
          <w:highlight w:val="none"/>
        </w:rPr>
        <w:t>发出中标通知书后，采购人无正当理由拒签合同的，采购人除向中标人退还投标保证金外，有关行政监督部门可给予警告、责令改正和罚款；给中标人造成损失的，采购人还应当赔偿损失。</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7.4.3 </w:t>
      </w:r>
      <w:r>
        <w:rPr>
          <w:rFonts w:hint="eastAsia" w:ascii="宋体" w:hAnsi="宋体"/>
          <w:color w:val="auto"/>
          <w:szCs w:val="21"/>
          <w:highlight w:val="none"/>
        </w:rPr>
        <w:t>本项目合同形式见投标人须知前附表。</w:t>
      </w:r>
    </w:p>
    <w:p>
      <w:pPr>
        <w:pStyle w:val="3"/>
        <w:keepNext w:val="0"/>
        <w:keepLines w:val="0"/>
        <w:spacing w:line="360" w:lineRule="auto"/>
        <w:rPr>
          <w:rFonts w:ascii="宋体" w:hAnsi="宋体" w:eastAsia="宋体"/>
          <w:b w:val="0"/>
          <w:color w:val="auto"/>
          <w:sz w:val="30"/>
          <w:szCs w:val="30"/>
          <w:highlight w:val="none"/>
        </w:rPr>
      </w:pPr>
      <w:bookmarkStart w:id="59" w:name="_Toc25048"/>
      <w:bookmarkStart w:id="60" w:name="_Toc466881195"/>
      <w:bookmarkStart w:id="61" w:name="_Toc509328911"/>
      <w:bookmarkStart w:id="62" w:name="_Toc448129436"/>
      <w:bookmarkStart w:id="63" w:name="_Toc503862613"/>
      <w:r>
        <w:rPr>
          <w:rFonts w:ascii="宋体" w:hAnsi="宋体" w:eastAsia="宋体"/>
          <w:b w:val="0"/>
          <w:color w:val="auto"/>
          <w:sz w:val="30"/>
          <w:szCs w:val="30"/>
          <w:highlight w:val="none"/>
        </w:rPr>
        <w:t>8．重新招标和不再招标</w:t>
      </w:r>
      <w:bookmarkEnd w:id="59"/>
      <w:bookmarkEnd w:id="60"/>
      <w:bookmarkEnd w:id="61"/>
      <w:bookmarkEnd w:id="62"/>
      <w:bookmarkEnd w:id="63"/>
    </w:p>
    <w:p>
      <w:pPr>
        <w:spacing w:line="360" w:lineRule="auto"/>
        <w:rPr>
          <w:rFonts w:ascii="宋体" w:hAnsi="宋体"/>
          <w:color w:val="auto"/>
          <w:sz w:val="28"/>
          <w:szCs w:val="28"/>
          <w:highlight w:val="none"/>
        </w:rPr>
      </w:pPr>
      <w:r>
        <w:rPr>
          <w:rFonts w:ascii="宋体" w:hAnsi="宋体"/>
          <w:color w:val="auto"/>
          <w:sz w:val="28"/>
          <w:szCs w:val="28"/>
          <w:highlight w:val="none"/>
        </w:rPr>
        <w:t xml:space="preserve">8.1 </w:t>
      </w:r>
      <w:r>
        <w:rPr>
          <w:rFonts w:hint="eastAsia" w:ascii="宋体" w:hAnsi="宋体"/>
          <w:color w:val="auto"/>
          <w:sz w:val="28"/>
          <w:szCs w:val="28"/>
          <w:highlight w:val="none"/>
        </w:rPr>
        <w:t>重新招标</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8.1.1</w:t>
      </w:r>
      <w:r>
        <w:rPr>
          <w:rFonts w:hint="eastAsia" w:ascii="宋体" w:hAnsi="宋体"/>
          <w:color w:val="auto"/>
          <w:szCs w:val="21"/>
          <w:highlight w:val="none"/>
        </w:rPr>
        <w:t>有下列情况者，采购人将依法重新招标：</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）投标截止时间止，投标人少于</w:t>
      </w:r>
      <w:r>
        <w:rPr>
          <w:rFonts w:ascii="宋体" w:hAnsi="宋体"/>
          <w:color w:val="auto"/>
          <w:szCs w:val="21"/>
          <w:highlight w:val="none"/>
        </w:rPr>
        <w:t>3</w:t>
      </w:r>
      <w:r>
        <w:rPr>
          <w:rFonts w:hint="eastAsia" w:ascii="宋体" w:hAnsi="宋体"/>
          <w:color w:val="auto"/>
          <w:szCs w:val="21"/>
          <w:highlight w:val="none"/>
        </w:rPr>
        <w:t>个的；</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）经评标委员会评审后否决所有投标的；</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3）除非已经产生中标候选人，在投标有效期内同意延长投标有效期的投标人少于3个的；</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4）法律、法规规定的应当重新招标的其他情形。</w:t>
      </w:r>
    </w:p>
    <w:p>
      <w:pPr>
        <w:spacing w:line="360" w:lineRule="auto"/>
        <w:ind w:firstLine="411" w:firstLineChars="196"/>
        <w:rPr>
          <w:rFonts w:ascii="宋体" w:hAnsi="宋体"/>
          <w:color w:val="auto"/>
          <w:szCs w:val="21"/>
          <w:highlight w:val="none"/>
        </w:rPr>
      </w:pPr>
      <w:r>
        <w:rPr>
          <w:rFonts w:ascii="宋体" w:hAnsi="宋体"/>
          <w:color w:val="auto"/>
          <w:szCs w:val="21"/>
          <w:highlight w:val="none"/>
        </w:rPr>
        <w:t>8.1.2</w:t>
      </w:r>
      <w:r>
        <w:rPr>
          <w:rFonts w:hint="eastAsia" w:ascii="宋体" w:hAnsi="宋体"/>
          <w:color w:val="auto"/>
          <w:highlight w:val="none"/>
        </w:rPr>
        <w:t>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p>
    <w:p>
      <w:pPr>
        <w:spacing w:line="360" w:lineRule="auto"/>
        <w:rPr>
          <w:rFonts w:ascii="宋体" w:hAnsi="宋体"/>
          <w:color w:val="auto"/>
          <w:sz w:val="28"/>
          <w:szCs w:val="28"/>
          <w:highlight w:val="none"/>
        </w:rPr>
      </w:pPr>
      <w:r>
        <w:rPr>
          <w:rFonts w:ascii="宋体" w:hAnsi="宋体"/>
          <w:color w:val="auto"/>
          <w:sz w:val="28"/>
          <w:szCs w:val="28"/>
          <w:highlight w:val="none"/>
        </w:rPr>
        <w:t xml:space="preserve">8.2 </w:t>
      </w:r>
      <w:r>
        <w:rPr>
          <w:rFonts w:hint="eastAsia" w:ascii="宋体" w:hAnsi="宋体"/>
          <w:color w:val="auto"/>
          <w:sz w:val="28"/>
          <w:szCs w:val="28"/>
          <w:highlight w:val="none"/>
        </w:rPr>
        <w:t>不再招标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重新招标后投标人仍少于</w:t>
      </w:r>
      <w:r>
        <w:rPr>
          <w:rFonts w:ascii="宋体" w:hAnsi="宋体"/>
          <w:color w:val="auto"/>
          <w:szCs w:val="21"/>
          <w:highlight w:val="none"/>
        </w:rPr>
        <w:t>3</w:t>
      </w:r>
      <w:r>
        <w:rPr>
          <w:rFonts w:hint="eastAsia" w:ascii="宋体" w:hAnsi="宋体"/>
          <w:color w:val="auto"/>
          <w:szCs w:val="21"/>
          <w:highlight w:val="none"/>
        </w:rPr>
        <w:t>个的，属于必须审批或核准的工程建设项目，经原审批或核准部门批准后可以不再进行招标。</w:t>
      </w:r>
    </w:p>
    <w:p>
      <w:pPr>
        <w:pStyle w:val="3"/>
        <w:keepNext w:val="0"/>
        <w:keepLines w:val="0"/>
        <w:spacing w:line="360" w:lineRule="auto"/>
        <w:rPr>
          <w:rFonts w:ascii="宋体" w:hAnsi="宋体" w:eastAsia="宋体"/>
          <w:b w:val="0"/>
          <w:color w:val="auto"/>
          <w:sz w:val="30"/>
          <w:szCs w:val="30"/>
          <w:highlight w:val="none"/>
        </w:rPr>
      </w:pPr>
      <w:bookmarkStart w:id="64" w:name="_Toc466881196"/>
      <w:bookmarkStart w:id="65" w:name="_Toc15990"/>
      <w:bookmarkStart w:id="66" w:name="_Toc503862614"/>
      <w:bookmarkStart w:id="67" w:name="_Toc509328912"/>
      <w:bookmarkStart w:id="68" w:name="_Toc448129437"/>
      <w:r>
        <w:rPr>
          <w:rFonts w:ascii="宋体" w:hAnsi="宋体" w:eastAsia="宋体"/>
          <w:b w:val="0"/>
          <w:color w:val="auto"/>
          <w:sz w:val="30"/>
          <w:szCs w:val="30"/>
          <w:highlight w:val="none"/>
        </w:rPr>
        <w:t>9．纪律和监督</w:t>
      </w:r>
      <w:bookmarkEnd w:id="64"/>
      <w:bookmarkEnd w:id="65"/>
      <w:bookmarkEnd w:id="66"/>
      <w:bookmarkEnd w:id="67"/>
      <w:bookmarkEnd w:id="68"/>
    </w:p>
    <w:p>
      <w:pPr>
        <w:spacing w:line="360" w:lineRule="auto"/>
        <w:rPr>
          <w:rFonts w:ascii="宋体" w:hAnsi="宋体"/>
          <w:color w:val="auto"/>
          <w:sz w:val="28"/>
          <w:szCs w:val="28"/>
          <w:highlight w:val="none"/>
        </w:rPr>
      </w:pPr>
      <w:r>
        <w:rPr>
          <w:rFonts w:ascii="宋体" w:hAnsi="宋体"/>
          <w:color w:val="auto"/>
          <w:sz w:val="28"/>
          <w:szCs w:val="28"/>
          <w:highlight w:val="none"/>
        </w:rPr>
        <w:t xml:space="preserve">9.1 </w:t>
      </w:r>
      <w:r>
        <w:rPr>
          <w:rFonts w:hint="eastAsia" w:ascii="宋体" w:hAnsi="宋体"/>
          <w:color w:val="auto"/>
          <w:sz w:val="28"/>
          <w:szCs w:val="28"/>
          <w:highlight w:val="none"/>
        </w:rPr>
        <w:t>对采购人的纪律要求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采购人不得泄漏招标投标活动中应当保密的情况和资料，不得与投标人串通损害国家利益、社会公共利益或者他人合法权益。</w:t>
      </w:r>
    </w:p>
    <w:p>
      <w:pPr>
        <w:spacing w:line="360" w:lineRule="auto"/>
        <w:rPr>
          <w:rFonts w:ascii="宋体" w:hAnsi="宋体"/>
          <w:color w:val="auto"/>
          <w:sz w:val="28"/>
          <w:szCs w:val="28"/>
          <w:highlight w:val="none"/>
        </w:rPr>
      </w:pPr>
      <w:r>
        <w:rPr>
          <w:rFonts w:ascii="宋体" w:hAnsi="宋体"/>
          <w:color w:val="auto"/>
          <w:sz w:val="28"/>
          <w:szCs w:val="28"/>
          <w:highlight w:val="none"/>
        </w:rPr>
        <w:t xml:space="preserve">9.2 </w:t>
      </w:r>
      <w:r>
        <w:rPr>
          <w:rFonts w:hint="eastAsia" w:ascii="宋体" w:hAnsi="宋体"/>
          <w:color w:val="auto"/>
          <w:sz w:val="28"/>
          <w:szCs w:val="28"/>
          <w:highlight w:val="none"/>
        </w:rPr>
        <w:t>对投标人的纪律要求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pPr>
        <w:spacing w:line="360" w:lineRule="auto"/>
        <w:rPr>
          <w:rFonts w:ascii="宋体" w:hAnsi="宋体"/>
          <w:color w:val="auto"/>
          <w:sz w:val="28"/>
          <w:szCs w:val="28"/>
          <w:highlight w:val="none"/>
        </w:rPr>
      </w:pPr>
      <w:r>
        <w:rPr>
          <w:rFonts w:ascii="宋体" w:hAnsi="宋体"/>
          <w:color w:val="auto"/>
          <w:sz w:val="28"/>
          <w:szCs w:val="28"/>
          <w:highlight w:val="none"/>
        </w:rPr>
        <w:t xml:space="preserve">9.3 </w:t>
      </w:r>
      <w:r>
        <w:rPr>
          <w:rFonts w:hint="eastAsia" w:ascii="宋体" w:hAnsi="宋体"/>
          <w:color w:val="auto"/>
          <w:sz w:val="28"/>
          <w:szCs w:val="28"/>
          <w:highlight w:val="none"/>
        </w:rPr>
        <w:t>对评标委员会成员的纪律要求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rPr>
          <w:rFonts w:ascii="宋体" w:hAnsi="宋体"/>
          <w:color w:val="auto"/>
          <w:sz w:val="28"/>
          <w:szCs w:val="28"/>
          <w:highlight w:val="none"/>
        </w:rPr>
      </w:pPr>
      <w:r>
        <w:rPr>
          <w:rFonts w:ascii="宋体" w:hAnsi="宋体"/>
          <w:color w:val="auto"/>
          <w:sz w:val="28"/>
          <w:szCs w:val="28"/>
          <w:highlight w:val="none"/>
        </w:rPr>
        <w:t xml:space="preserve">9.4 </w:t>
      </w:r>
      <w:r>
        <w:rPr>
          <w:rFonts w:hint="eastAsia" w:ascii="宋体" w:hAnsi="宋体"/>
          <w:color w:val="auto"/>
          <w:sz w:val="28"/>
          <w:szCs w:val="28"/>
          <w:highlight w:val="none"/>
        </w:rPr>
        <w:t>对与评标活动有关的工作人员的纪律要求</w:t>
      </w:r>
    </w:p>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与评标活动有关的工作人员不得收受他人的财物或者其他好处，不得向他人透漏对投标文件的评审和比较、中标候选人的推荐情况以及评标有关的其他情况。在评标活动中，</w:t>
      </w:r>
      <w:r>
        <w:rPr>
          <w:rFonts w:hint="eastAsia" w:ascii="宋体" w:hAnsi="宋体" w:cs="宋体"/>
          <w:color w:val="auto"/>
          <w:szCs w:val="21"/>
          <w:highlight w:val="none"/>
        </w:rPr>
        <w:t>与评标活动有关的工作人员不得擅离职守，影响评标程序正常进行。</w:t>
      </w:r>
    </w:p>
    <w:p>
      <w:pPr>
        <w:spacing w:line="360" w:lineRule="auto"/>
        <w:ind w:left="538" w:hanging="537" w:hangingChars="192"/>
        <w:rPr>
          <w:rFonts w:ascii="宋体" w:hAnsi="宋体"/>
          <w:color w:val="auto"/>
          <w:sz w:val="28"/>
          <w:szCs w:val="28"/>
          <w:highlight w:val="none"/>
        </w:rPr>
      </w:pPr>
      <w:r>
        <w:rPr>
          <w:rFonts w:ascii="宋体" w:hAnsi="宋体"/>
          <w:color w:val="auto"/>
          <w:sz w:val="28"/>
          <w:szCs w:val="28"/>
          <w:highlight w:val="none"/>
        </w:rPr>
        <w:t>9.</w:t>
      </w:r>
      <w:r>
        <w:rPr>
          <w:rFonts w:hint="eastAsia" w:ascii="宋体" w:hAnsi="宋体"/>
          <w:color w:val="auto"/>
          <w:sz w:val="28"/>
          <w:szCs w:val="28"/>
          <w:highlight w:val="none"/>
        </w:rPr>
        <w:t>5质疑与</w:t>
      </w:r>
      <w:r>
        <w:rPr>
          <w:rFonts w:ascii="宋体" w:hAnsi="宋体"/>
          <w:color w:val="auto"/>
          <w:sz w:val="28"/>
          <w:szCs w:val="28"/>
          <w:highlight w:val="none"/>
        </w:rPr>
        <w:t>投诉</w:t>
      </w:r>
    </w:p>
    <w:p>
      <w:pPr>
        <w:spacing w:line="360" w:lineRule="auto"/>
        <w:ind w:firstLine="367" w:firstLineChars="175"/>
        <w:rPr>
          <w:rFonts w:ascii="宋体" w:hAnsi="宋体"/>
          <w:color w:val="auto"/>
          <w:szCs w:val="21"/>
          <w:highlight w:val="none"/>
        </w:rPr>
      </w:pPr>
      <w:bookmarkStart w:id="69" w:name="_Toc466881197"/>
      <w:bookmarkStart w:id="70" w:name="_Toc17467"/>
      <w:bookmarkStart w:id="71" w:name="_Toc509328913"/>
      <w:bookmarkStart w:id="72" w:name="_Toc503862615"/>
      <w:bookmarkStart w:id="73" w:name="_Toc448129438"/>
      <w:r>
        <w:rPr>
          <w:rFonts w:hint="eastAsia" w:ascii="宋体" w:hAnsi="宋体"/>
          <w:color w:val="auto"/>
          <w:szCs w:val="21"/>
          <w:highlight w:val="none"/>
        </w:rPr>
        <w:t>9.5.1投标人认为招标文件、招标过程或者中标结果使自己的权益受到损害的，可以在知道或者应知其权益受到损害之日起7个工作日内，以书面形式向采购人、采购代理机构提出质疑。</w:t>
      </w:r>
    </w:p>
    <w:p>
      <w:pPr>
        <w:spacing w:line="360" w:lineRule="auto"/>
        <w:ind w:firstLine="367" w:firstLineChars="175"/>
        <w:rPr>
          <w:rFonts w:ascii="宋体" w:hAnsi="宋体"/>
          <w:color w:val="auto"/>
          <w:szCs w:val="21"/>
          <w:highlight w:val="none"/>
        </w:rPr>
      </w:pPr>
      <w:r>
        <w:rPr>
          <w:rFonts w:hint="eastAsia" w:ascii="宋体" w:hAnsi="宋体"/>
          <w:color w:val="auto"/>
          <w:szCs w:val="21"/>
          <w:highlight w:val="none"/>
        </w:rPr>
        <w:t>9.5.2针对同一采购程序环节的质疑，投标人须在法定质疑期内一次性提出；否则，采购人或采购代理机构有权不予处理。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9.5.3投标人提出质疑应当提交质疑函和必要的证明材料。质疑函的内容应当符合《政府采购质疑和投诉办法》（财政部94号令）第十二条第一款的要求；投标人为法人或者其他组织的，质疑函应由法定代表人、主要负责人，或者其授权代表签字或盖章，并加盖公章；由代理人提出质疑的，代理人还应当提交投标人签署的授权委托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质疑函应当按照财政部制定的范本填写，范本格式可通过中国政府采购网（http://www.ccgp.gov.cn）右侧的“下载专区”下载。</w:t>
      </w:r>
      <w:bookmarkStart w:id="74" w:name="_Hlk17707499"/>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接收质疑函的联系人及联系方式：详见前附表。</w:t>
      </w:r>
    </w:p>
    <w:p>
      <w:pPr>
        <w:spacing w:line="360" w:lineRule="auto"/>
        <w:ind w:firstLine="367" w:firstLineChars="175"/>
        <w:rPr>
          <w:rFonts w:ascii="宋体" w:hAnsi="宋体"/>
          <w:color w:val="auto"/>
          <w:szCs w:val="21"/>
          <w:highlight w:val="none"/>
        </w:rPr>
      </w:pPr>
      <w:r>
        <w:rPr>
          <w:rFonts w:hint="eastAsia" w:ascii="宋体" w:hAnsi="宋体"/>
          <w:color w:val="auto"/>
          <w:szCs w:val="21"/>
          <w:highlight w:val="none"/>
        </w:rPr>
        <w:t>投标人提交的质疑函或授权委托书的内容不符合上述规定的，采购代理机构将当场一次性告知投标人需要补正的事项，投标人未按要求及时补正并重新提交的，投标人自行承担不利后果。</w:t>
      </w:r>
      <w:bookmarkEnd w:id="74"/>
    </w:p>
    <w:p>
      <w:pPr>
        <w:spacing w:line="360" w:lineRule="auto"/>
        <w:ind w:firstLine="367" w:firstLineChars="175"/>
        <w:rPr>
          <w:rFonts w:ascii="宋体" w:hAnsi="宋体"/>
          <w:color w:val="auto"/>
          <w:szCs w:val="21"/>
          <w:highlight w:val="none"/>
        </w:rPr>
      </w:pPr>
      <w:r>
        <w:rPr>
          <w:rFonts w:hint="eastAsia" w:ascii="宋体" w:hAnsi="宋体"/>
          <w:color w:val="auto"/>
          <w:szCs w:val="21"/>
          <w:highlight w:val="none"/>
        </w:rPr>
        <w:t>9.5.4采购人、采购代理机构不得拒收质疑投标人在法定质疑期内发出的质疑函，应当在收到质疑函后7个工作日内作出答复，并以书面形式通知质疑投标人和其他有关投标人。</w:t>
      </w:r>
    </w:p>
    <w:p>
      <w:pPr>
        <w:spacing w:line="360" w:lineRule="auto"/>
        <w:ind w:firstLine="367" w:firstLineChars="175"/>
        <w:rPr>
          <w:rFonts w:ascii="宋体" w:hAnsi="宋体"/>
          <w:color w:val="auto"/>
          <w:szCs w:val="21"/>
          <w:highlight w:val="none"/>
        </w:rPr>
      </w:pPr>
      <w:r>
        <w:rPr>
          <w:rFonts w:hint="eastAsia" w:ascii="宋体" w:hAnsi="宋体"/>
          <w:color w:val="auto"/>
          <w:szCs w:val="21"/>
          <w:highlight w:val="none"/>
        </w:rPr>
        <w:t>9.5.5采购人、采购代理机构认为投标人质疑不成立，或者成立但未对中标结果构成影响的，继续开展采购活动；认为投标人质疑成立且影响或者可能影响中标结果的，按照下列情况处理：</w:t>
      </w:r>
    </w:p>
    <w:p>
      <w:pPr>
        <w:spacing w:line="360" w:lineRule="auto"/>
        <w:ind w:firstLine="367" w:firstLineChars="175"/>
        <w:rPr>
          <w:rFonts w:ascii="宋体" w:hAnsi="宋体"/>
          <w:color w:val="auto"/>
          <w:szCs w:val="21"/>
          <w:highlight w:val="none"/>
        </w:rPr>
      </w:pPr>
      <w:r>
        <w:rPr>
          <w:rFonts w:hint="eastAsia" w:ascii="宋体" w:hAnsi="宋体"/>
          <w:color w:val="auto"/>
          <w:szCs w:val="21"/>
          <w:highlight w:val="none"/>
        </w:rPr>
        <w:t>（1）对招标文件提出的质疑，依法通过澄清或者修改可以继续开展采购活动的，澄清或者修改招标文件后继续开展招标活动；否则应当修改招标文件后重新开展招标活动。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（2）对招标过程或者中标结果提出的质疑，合格投标人符合法定数量时，可以从合格中标候选人中另行确定中标单位的，应当依法另行确定中标单位；否则应当重新开展招标活动。</w:t>
      </w:r>
    </w:p>
    <w:p>
      <w:pPr>
        <w:spacing w:line="360" w:lineRule="auto"/>
        <w:ind w:firstLine="367" w:firstLineChars="175"/>
        <w:rPr>
          <w:rFonts w:ascii="宋体" w:hAnsi="宋体"/>
          <w:color w:val="auto"/>
          <w:szCs w:val="21"/>
          <w:highlight w:val="none"/>
        </w:rPr>
      </w:pPr>
      <w:r>
        <w:rPr>
          <w:rFonts w:hint="eastAsia" w:ascii="宋体" w:hAnsi="宋体"/>
          <w:color w:val="auto"/>
          <w:szCs w:val="21"/>
          <w:highlight w:val="none"/>
        </w:rPr>
        <w:t>9.5.6</w:t>
      </w:r>
      <w:r>
        <w:rPr>
          <w:rFonts w:ascii="宋体" w:hAnsi="宋体"/>
          <w:color w:val="auto"/>
          <w:szCs w:val="21"/>
          <w:highlight w:val="none"/>
        </w:rPr>
        <w:t xml:space="preserve"> </w:t>
      </w:r>
      <w:r>
        <w:rPr>
          <w:rFonts w:hint="eastAsia" w:ascii="宋体" w:hAnsi="宋体"/>
          <w:color w:val="auto"/>
          <w:szCs w:val="21"/>
          <w:highlight w:val="none"/>
        </w:rPr>
        <w:t>质疑答复导致中标结果改变的，采购人或者采购代理机构应当将有关情况书面报告本级财政部门。</w:t>
      </w:r>
    </w:p>
    <w:p>
      <w:pPr>
        <w:spacing w:line="360" w:lineRule="auto"/>
        <w:ind w:firstLine="367" w:firstLineChars="175"/>
        <w:rPr>
          <w:rFonts w:ascii="宋体" w:hAnsi="宋体"/>
          <w:color w:val="auto"/>
          <w:szCs w:val="21"/>
          <w:highlight w:val="none"/>
        </w:rPr>
      </w:pPr>
      <w:r>
        <w:rPr>
          <w:rFonts w:hint="eastAsia" w:ascii="宋体" w:hAnsi="宋体"/>
          <w:color w:val="auto"/>
          <w:szCs w:val="21"/>
          <w:highlight w:val="none"/>
        </w:rPr>
        <w:t>9.5</w:t>
      </w:r>
      <w:r>
        <w:rPr>
          <w:rFonts w:ascii="宋体" w:hAnsi="宋体"/>
          <w:color w:val="auto"/>
          <w:szCs w:val="21"/>
          <w:highlight w:val="none"/>
        </w:rPr>
        <w:t>.7</w:t>
      </w:r>
      <w:r>
        <w:rPr>
          <w:rFonts w:hint="eastAsia" w:ascii="宋体" w:hAnsi="宋体"/>
          <w:color w:val="auto"/>
          <w:szCs w:val="21"/>
          <w:highlight w:val="none"/>
        </w:rPr>
        <w:t>质疑投标人对采购人、采购代理机构的答复不满意，或者采购人、采购代理机构未在规定时间内作出答复的，可以在答复期满后15个工作日内向《政府采购质疑和投诉办法》（财政部令第94号）第六条规定的财政部门提起投诉。</w:t>
      </w:r>
    </w:p>
    <w:p>
      <w:pPr>
        <w:pStyle w:val="3"/>
        <w:keepNext w:val="0"/>
        <w:keepLines w:val="0"/>
        <w:spacing w:line="360" w:lineRule="auto"/>
        <w:rPr>
          <w:rFonts w:ascii="宋体" w:hAnsi="宋体" w:eastAsia="宋体"/>
          <w:b w:val="0"/>
          <w:color w:val="auto"/>
          <w:sz w:val="30"/>
          <w:szCs w:val="30"/>
          <w:highlight w:val="none"/>
        </w:rPr>
      </w:pPr>
      <w:r>
        <w:rPr>
          <w:rFonts w:ascii="宋体" w:hAnsi="宋体" w:eastAsia="宋体"/>
          <w:b w:val="0"/>
          <w:color w:val="auto"/>
          <w:sz w:val="30"/>
          <w:szCs w:val="30"/>
          <w:highlight w:val="none"/>
        </w:rPr>
        <w:t>10．其他注意事项</w:t>
      </w:r>
      <w:bookmarkEnd w:id="69"/>
      <w:bookmarkEnd w:id="70"/>
      <w:bookmarkEnd w:id="71"/>
      <w:bookmarkEnd w:id="72"/>
      <w:bookmarkEnd w:id="73"/>
    </w:p>
    <w:p>
      <w:pPr>
        <w:widowControl/>
        <w:spacing w:line="360" w:lineRule="auto"/>
        <w:ind w:firstLine="420" w:firstLineChars="200"/>
        <w:jc w:val="left"/>
        <w:rPr>
          <w:rFonts w:ascii="宋体" w:hAnsi="宋体" w:cs="宋体"/>
          <w:color w:val="auto"/>
          <w:szCs w:val="21"/>
          <w:highlight w:val="none"/>
        </w:rPr>
      </w:pPr>
      <w:bookmarkStart w:id="75" w:name="_Toc364679555"/>
      <w:r>
        <w:rPr>
          <w:rFonts w:hint="eastAsia" w:ascii="宋体" w:hAnsi="宋体"/>
          <w:color w:val="auto"/>
          <w:szCs w:val="21"/>
          <w:highlight w:val="none"/>
        </w:rPr>
        <w:t xml:space="preserve">10.1 </w:t>
      </w:r>
      <w:r>
        <w:rPr>
          <w:rFonts w:hint="eastAsia" w:ascii="宋体" w:hAnsi="宋体" w:cs="宋体"/>
          <w:color w:val="auto"/>
          <w:szCs w:val="21"/>
          <w:highlight w:val="none"/>
        </w:rPr>
        <w:t>需要补充的其他内容：见投标人须知前附表。</w:t>
      </w:r>
    </w:p>
    <w:p>
      <w:pPr>
        <w:tabs>
          <w:tab w:val="left" w:pos="425"/>
        </w:tabs>
        <w:spacing w:before="156" w:beforeLines="50" w:line="360" w:lineRule="auto"/>
        <w:ind w:firstLine="411" w:firstLineChars="196"/>
        <w:rPr>
          <w:rFonts w:cs="宋体" w:asciiTheme="minorEastAsia" w:hAnsiTheme="minorEastAsia" w:eastAsiaTheme="minorEastAsia"/>
          <w:color w:val="auto"/>
          <w:szCs w:val="21"/>
          <w:highlight w:val="none"/>
        </w:rPr>
      </w:pPr>
    </w:p>
    <w:p>
      <w:pPr>
        <w:tabs>
          <w:tab w:val="left" w:pos="425"/>
        </w:tabs>
        <w:spacing w:before="156" w:beforeLines="50" w:line="360" w:lineRule="auto"/>
        <w:ind w:firstLine="411" w:firstLineChars="196"/>
        <w:rPr>
          <w:rFonts w:cs="宋体" w:asciiTheme="minorEastAsia" w:hAnsiTheme="minorEastAsia" w:eastAsiaTheme="minorEastAsia"/>
          <w:color w:val="auto"/>
          <w:szCs w:val="21"/>
          <w:highlight w:val="none"/>
        </w:rPr>
      </w:pPr>
    </w:p>
    <w:p>
      <w:pPr>
        <w:tabs>
          <w:tab w:val="left" w:pos="425"/>
        </w:tabs>
        <w:spacing w:before="156" w:beforeLines="50" w:line="360" w:lineRule="auto"/>
        <w:ind w:firstLine="411" w:firstLineChars="196"/>
        <w:rPr>
          <w:rFonts w:cs="宋体" w:asciiTheme="minorEastAsia" w:hAnsiTheme="minorEastAsia" w:eastAsiaTheme="minorEastAsia"/>
          <w:color w:val="auto"/>
          <w:szCs w:val="21"/>
          <w:highlight w:val="none"/>
        </w:rPr>
      </w:pPr>
    </w:p>
    <w:p>
      <w:pPr>
        <w:tabs>
          <w:tab w:val="left" w:pos="425"/>
        </w:tabs>
        <w:spacing w:before="156" w:beforeLines="50" w:line="360" w:lineRule="auto"/>
        <w:ind w:firstLine="411" w:firstLineChars="196"/>
        <w:rPr>
          <w:rFonts w:cs="宋体" w:asciiTheme="minorEastAsia" w:hAnsiTheme="minorEastAsia" w:eastAsiaTheme="minorEastAsia"/>
          <w:color w:val="auto"/>
          <w:szCs w:val="21"/>
          <w:highlight w:val="none"/>
        </w:rPr>
      </w:pPr>
    </w:p>
    <w:p>
      <w:pPr>
        <w:tabs>
          <w:tab w:val="left" w:pos="425"/>
        </w:tabs>
        <w:spacing w:before="156" w:beforeLines="50" w:line="360" w:lineRule="auto"/>
        <w:ind w:firstLine="411" w:firstLineChars="196"/>
        <w:rPr>
          <w:rFonts w:cs="宋体" w:asciiTheme="minorEastAsia" w:hAnsiTheme="minorEastAsia" w:eastAsiaTheme="minorEastAsia"/>
          <w:color w:val="auto"/>
          <w:szCs w:val="21"/>
          <w:highlight w:val="none"/>
        </w:rPr>
      </w:pPr>
    </w:p>
    <w:p>
      <w:pPr>
        <w:tabs>
          <w:tab w:val="left" w:pos="425"/>
        </w:tabs>
        <w:spacing w:before="156" w:beforeLines="50" w:line="360" w:lineRule="auto"/>
        <w:ind w:firstLine="411" w:firstLineChars="196"/>
        <w:rPr>
          <w:rFonts w:cs="宋体" w:asciiTheme="minorEastAsia" w:hAnsiTheme="minorEastAsia" w:eastAsiaTheme="minorEastAsia"/>
          <w:color w:val="auto"/>
          <w:szCs w:val="21"/>
          <w:highlight w:val="none"/>
        </w:rPr>
      </w:pPr>
    </w:p>
    <w:p>
      <w:pPr>
        <w:tabs>
          <w:tab w:val="left" w:pos="425"/>
        </w:tabs>
        <w:spacing w:before="156" w:beforeLines="50" w:line="360" w:lineRule="auto"/>
        <w:ind w:firstLine="411" w:firstLineChars="196"/>
        <w:rPr>
          <w:rFonts w:cs="宋体" w:asciiTheme="minorEastAsia" w:hAnsiTheme="minorEastAsia" w:eastAsiaTheme="minorEastAsia"/>
          <w:color w:val="auto"/>
          <w:szCs w:val="21"/>
          <w:highlight w:val="none"/>
        </w:rPr>
      </w:pPr>
    </w:p>
    <w:p>
      <w:pPr>
        <w:widowControl/>
        <w:jc w:val="left"/>
        <w:rPr>
          <w:rFonts w:ascii="宋体" w:hAnsi="宋体"/>
          <w:b/>
          <w:color w:val="auto"/>
          <w:kern w:val="44"/>
          <w:sz w:val="52"/>
          <w:szCs w:val="52"/>
          <w:highlight w:val="none"/>
          <w:lang w:val="zh-CN"/>
        </w:rPr>
      </w:pPr>
      <w:bookmarkStart w:id="76" w:name="_Toc449306052"/>
      <w:r>
        <w:rPr>
          <w:rFonts w:ascii="宋体" w:hAnsi="宋体"/>
          <w:color w:val="auto"/>
          <w:sz w:val="52"/>
          <w:szCs w:val="52"/>
          <w:highlight w:val="none"/>
          <w:lang w:val="zh-CN"/>
        </w:rPr>
        <w:br w:type="page"/>
      </w:r>
    </w:p>
    <w:p>
      <w:pPr>
        <w:pStyle w:val="2"/>
        <w:keepNext w:val="0"/>
        <w:keepLines w:val="0"/>
        <w:spacing w:line="360" w:lineRule="auto"/>
        <w:rPr>
          <w:rFonts w:ascii="宋体" w:hAnsi="宋体" w:eastAsia="宋体"/>
          <w:color w:val="auto"/>
          <w:sz w:val="52"/>
          <w:szCs w:val="52"/>
          <w:highlight w:val="none"/>
          <w:lang w:val="zh-CN"/>
        </w:rPr>
      </w:pPr>
      <w:bookmarkStart w:id="77" w:name="_Toc17882830"/>
      <w:r>
        <w:rPr>
          <w:rFonts w:hint="eastAsia" w:ascii="宋体" w:hAnsi="宋体" w:eastAsia="宋体"/>
          <w:color w:val="auto"/>
          <w:sz w:val="52"/>
          <w:szCs w:val="52"/>
          <w:highlight w:val="none"/>
          <w:lang w:val="zh-CN"/>
        </w:rPr>
        <w:t>第三章  评标办法</w:t>
      </w:r>
      <w:bookmarkEnd w:id="76"/>
      <w:bookmarkEnd w:id="77"/>
    </w:p>
    <w:p>
      <w:pPr>
        <w:widowControl/>
        <w:shd w:val="clear" w:color="auto" w:fill="FFFFFF"/>
        <w:snapToGrid w:val="0"/>
        <w:spacing w:line="360" w:lineRule="auto"/>
        <w:jc w:val="center"/>
        <w:rPr>
          <w:rFonts w:cs="宋体" w:asciiTheme="minorEastAsia" w:hAnsiTheme="minorEastAsia" w:eastAsiaTheme="minorEastAsia"/>
          <w:color w:val="auto"/>
          <w:kern w:val="0"/>
          <w:sz w:val="28"/>
          <w:szCs w:val="28"/>
          <w:highlight w:val="none"/>
        </w:rPr>
      </w:pPr>
    </w:p>
    <w:p>
      <w:pPr>
        <w:widowControl/>
        <w:shd w:val="clear" w:color="auto" w:fill="FFFFFF"/>
        <w:snapToGrid w:val="0"/>
        <w:spacing w:line="360" w:lineRule="auto"/>
        <w:jc w:val="center"/>
        <w:rPr>
          <w:rFonts w:cs="宋体" w:asciiTheme="minorEastAsia" w:hAnsiTheme="minorEastAsia" w:eastAsiaTheme="minorEastAsia"/>
          <w:color w:val="auto"/>
          <w:kern w:val="0"/>
          <w:sz w:val="28"/>
          <w:szCs w:val="28"/>
          <w:highlight w:val="none"/>
        </w:rPr>
      </w:pPr>
    </w:p>
    <w:p>
      <w:pPr>
        <w:widowControl/>
        <w:shd w:val="clear" w:color="auto" w:fill="FFFFFF"/>
        <w:snapToGrid w:val="0"/>
        <w:spacing w:line="360" w:lineRule="auto"/>
        <w:jc w:val="center"/>
        <w:rPr>
          <w:rFonts w:cs="宋体" w:asciiTheme="minorEastAsia" w:hAnsiTheme="minorEastAsia" w:eastAsiaTheme="minorEastAsia"/>
          <w:color w:val="auto"/>
          <w:kern w:val="0"/>
          <w:sz w:val="28"/>
          <w:szCs w:val="28"/>
          <w:highlight w:val="none"/>
        </w:rPr>
      </w:pPr>
    </w:p>
    <w:p>
      <w:pPr>
        <w:widowControl/>
        <w:shd w:val="clear" w:color="auto" w:fill="FFFFFF"/>
        <w:snapToGrid w:val="0"/>
        <w:spacing w:line="360" w:lineRule="auto"/>
        <w:jc w:val="center"/>
        <w:rPr>
          <w:rFonts w:cs="宋体" w:asciiTheme="minorEastAsia" w:hAnsiTheme="minorEastAsia" w:eastAsiaTheme="minorEastAsia"/>
          <w:color w:val="auto"/>
          <w:kern w:val="0"/>
          <w:sz w:val="28"/>
          <w:szCs w:val="28"/>
          <w:highlight w:val="none"/>
        </w:rPr>
      </w:pPr>
    </w:p>
    <w:p>
      <w:pPr>
        <w:widowControl/>
        <w:shd w:val="clear" w:color="auto" w:fill="FFFFFF"/>
        <w:snapToGrid w:val="0"/>
        <w:spacing w:line="360" w:lineRule="auto"/>
        <w:jc w:val="center"/>
        <w:rPr>
          <w:rFonts w:cs="宋体" w:asciiTheme="minorEastAsia" w:hAnsiTheme="minorEastAsia" w:eastAsiaTheme="minorEastAsia"/>
          <w:color w:val="auto"/>
          <w:kern w:val="0"/>
          <w:sz w:val="28"/>
          <w:szCs w:val="28"/>
          <w:highlight w:val="none"/>
        </w:rPr>
      </w:pPr>
    </w:p>
    <w:p>
      <w:pPr>
        <w:widowControl/>
        <w:shd w:val="clear" w:color="auto" w:fill="FFFFFF"/>
        <w:snapToGrid w:val="0"/>
        <w:spacing w:line="360" w:lineRule="auto"/>
        <w:jc w:val="center"/>
        <w:rPr>
          <w:rFonts w:cs="宋体" w:asciiTheme="minorEastAsia" w:hAnsiTheme="minorEastAsia" w:eastAsiaTheme="minorEastAsia"/>
          <w:color w:val="auto"/>
          <w:kern w:val="0"/>
          <w:sz w:val="28"/>
          <w:szCs w:val="28"/>
          <w:highlight w:val="none"/>
        </w:rPr>
      </w:pPr>
    </w:p>
    <w:p>
      <w:pPr>
        <w:widowControl/>
        <w:shd w:val="clear" w:color="auto" w:fill="FFFFFF"/>
        <w:snapToGrid w:val="0"/>
        <w:spacing w:line="360" w:lineRule="auto"/>
        <w:jc w:val="center"/>
        <w:rPr>
          <w:rFonts w:cs="宋体" w:asciiTheme="minorEastAsia" w:hAnsiTheme="minorEastAsia" w:eastAsiaTheme="minorEastAsia"/>
          <w:color w:val="auto"/>
          <w:kern w:val="0"/>
          <w:sz w:val="28"/>
          <w:szCs w:val="28"/>
          <w:highlight w:val="none"/>
        </w:rPr>
      </w:pPr>
    </w:p>
    <w:p>
      <w:pPr>
        <w:widowControl/>
        <w:shd w:val="clear" w:color="auto" w:fill="FFFFFF"/>
        <w:snapToGrid w:val="0"/>
        <w:spacing w:line="360" w:lineRule="auto"/>
        <w:jc w:val="center"/>
        <w:rPr>
          <w:rFonts w:cs="宋体" w:asciiTheme="minorEastAsia" w:hAnsiTheme="minorEastAsia" w:eastAsiaTheme="minorEastAsia"/>
          <w:color w:val="auto"/>
          <w:kern w:val="0"/>
          <w:sz w:val="28"/>
          <w:szCs w:val="28"/>
          <w:highlight w:val="none"/>
        </w:rPr>
      </w:pPr>
    </w:p>
    <w:p>
      <w:pPr>
        <w:widowControl/>
        <w:shd w:val="clear" w:color="auto" w:fill="FFFFFF"/>
        <w:snapToGrid w:val="0"/>
        <w:spacing w:line="360" w:lineRule="auto"/>
        <w:jc w:val="center"/>
        <w:rPr>
          <w:rFonts w:cs="宋体" w:asciiTheme="minorEastAsia" w:hAnsiTheme="minorEastAsia" w:eastAsiaTheme="minorEastAsia"/>
          <w:color w:val="auto"/>
          <w:kern w:val="0"/>
          <w:sz w:val="28"/>
          <w:szCs w:val="28"/>
          <w:highlight w:val="none"/>
        </w:rPr>
      </w:pPr>
    </w:p>
    <w:p>
      <w:pPr>
        <w:widowControl/>
        <w:shd w:val="clear" w:color="auto" w:fill="FFFFFF"/>
        <w:snapToGrid w:val="0"/>
        <w:spacing w:line="360" w:lineRule="auto"/>
        <w:jc w:val="center"/>
        <w:rPr>
          <w:rFonts w:cs="宋体" w:asciiTheme="minorEastAsia" w:hAnsiTheme="minorEastAsia" w:eastAsiaTheme="minorEastAsia"/>
          <w:color w:val="auto"/>
          <w:kern w:val="0"/>
          <w:sz w:val="28"/>
          <w:szCs w:val="28"/>
          <w:highlight w:val="none"/>
        </w:rPr>
      </w:pPr>
    </w:p>
    <w:p>
      <w:pPr>
        <w:widowControl/>
        <w:shd w:val="clear" w:color="auto" w:fill="FFFFFF"/>
        <w:snapToGrid w:val="0"/>
        <w:spacing w:line="360" w:lineRule="auto"/>
        <w:jc w:val="center"/>
        <w:rPr>
          <w:rFonts w:cs="宋体" w:asciiTheme="minorEastAsia" w:hAnsiTheme="minorEastAsia" w:eastAsiaTheme="minorEastAsia"/>
          <w:color w:val="auto"/>
          <w:kern w:val="0"/>
          <w:sz w:val="28"/>
          <w:szCs w:val="28"/>
          <w:highlight w:val="none"/>
        </w:rPr>
      </w:pPr>
    </w:p>
    <w:p>
      <w:pPr>
        <w:widowControl/>
        <w:jc w:val="left"/>
        <w:rPr>
          <w:rFonts w:cs="宋体" w:asciiTheme="minorEastAsia" w:hAnsiTheme="minorEastAsia" w:eastAsiaTheme="minorEastAsia"/>
          <w:color w:val="auto"/>
          <w:kern w:val="0"/>
          <w:sz w:val="28"/>
          <w:szCs w:val="28"/>
          <w:highlight w:val="none"/>
        </w:rPr>
      </w:pPr>
      <w:r>
        <w:rPr>
          <w:rFonts w:cs="宋体" w:asciiTheme="minorEastAsia" w:hAnsiTheme="minorEastAsia" w:eastAsiaTheme="minorEastAsia"/>
          <w:color w:val="auto"/>
          <w:kern w:val="0"/>
          <w:sz w:val="28"/>
          <w:szCs w:val="28"/>
          <w:highlight w:val="none"/>
        </w:rPr>
        <w:br w:type="page"/>
      </w:r>
    </w:p>
    <w:p>
      <w:pPr>
        <w:widowControl/>
        <w:shd w:val="clear" w:color="auto" w:fill="FFFFFF"/>
        <w:snapToGrid w:val="0"/>
        <w:spacing w:line="360" w:lineRule="auto"/>
        <w:rPr>
          <w:rFonts w:ascii="宋体" w:hAnsi="宋体"/>
          <w:b/>
          <w:color w:val="auto"/>
          <w:szCs w:val="21"/>
          <w:highlight w:val="none"/>
        </w:rPr>
      </w:pPr>
      <w:r>
        <w:rPr>
          <w:rFonts w:hint="eastAsia" w:ascii="宋体" w:hAnsi="宋体"/>
          <w:b/>
          <w:color w:val="auto"/>
          <w:szCs w:val="21"/>
          <w:highlight w:val="none"/>
        </w:rPr>
        <w:t xml:space="preserve">一、总则 </w:t>
      </w:r>
      <w:r>
        <w:rPr>
          <w:rFonts w:ascii="宋体" w:hAnsi="宋体"/>
          <w:b/>
          <w:color w:val="auto"/>
          <w:szCs w:val="21"/>
          <w:highlight w:val="none"/>
        </w:rPr>
        <w:t xml:space="preserve"> </w:t>
      </w:r>
    </w:p>
    <w:p>
      <w:pPr>
        <w:widowControl/>
        <w:shd w:val="clear" w:color="auto" w:fill="FFFFFF"/>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根据《建筑法》、《政府采购法》及其实施条例</w:t>
      </w:r>
      <w:r>
        <w:rPr>
          <w:rFonts w:ascii="宋体" w:hAnsi="宋体"/>
          <w:color w:val="auto"/>
          <w:szCs w:val="21"/>
          <w:highlight w:val="none"/>
        </w:rPr>
        <w:t>等文件的有关规定，并结合本工程招标文件中的有关条款予以制定本工程评标采用综合评分法。评标原则为百分制评标，即总得分=商务标得分(</w:t>
      </w:r>
      <w:r>
        <w:rPr>
          <w:rFonts w:hint="eastAsia" w:ascii="宋体" w:hAnsi="宋体"/>
          <w:color w:val="auto"/>
          <w:szCs w:val="21"/>
          <w:highlight w:val="none"/>
          <w:lang w:val="en-US" w:eastAsia="zh-CN"/>
        </w:rPr>
        <w:t>55</w:t>
      </w:r>
      <w:r>
        <w:rPr>
          <w:rFonts w:ascii="宋体" w:hAnsi="宋体"/>
          <w:color w:val="auto"/>
          <w:szCs w:val="21"/>
          <w:highlight w:val="none"/>
        </w:rPr>
        <w:t>分)+技术标得分(</w:t>
      </w:r>
      <w:r>
        <w:rPr>
          <w:rFonts w:hint="eastAsia" w:ascii="宋体" w:hAnsi="宋体"/>
          <w:color w:val="auto"/>
          <w:szCs w:val="21"/>
          <w:highlight w:val="none"/>
          <w:lang w:val="en-US" w:eastAsia="zh-CN"/>
        </w:rPr>
        <w:t>45</w:t>
      </w:r>
      <w:r>
        <w:rPr>
          <w:rFonts w:ascii="宋体" w:hAnsi="宋体"/>
          <w:color w:val="auto"/>
          <w:szCs w:val="21"/>
          <w:highlight w:val="none"/>
        </w:rPr>
        <w:t>分)，按总得分由高到低进行排序，推荐</w:t>
      </w:r>
      <w:r>
        <w:rPr>
          <w:rFonts w:hint="eastAsia" w:ascii="宋体" w:hAnsi="宋体"/>
          <w:color w:val="auto"/>
          <w:szCs w:val="21"/>
          <w:highlight w:val="none"/>
        </w:rPr>
        <w:t>2</w:t>
      </w:r>
      <w:r>
        <w:rPr>
          <w:rFonts w:ascii="宋体" w:hAnsi="宋体"/>
          <w:color w:val="auto"/>
          <w:szCs w:val="21"/>
          <w:highlight w:val="none"/>
        </w:rPr>
        <w:t>名投标人为中标候选人。</w:t>
      </w:r>
      <w:r>
        <w:rPr>
          <w:rFonts w:hint="eastAsia" w:ascii="宋体" w:hAnsi="宋体"/>
          <w:color w:val="auto"/>
          <w:szCs w:val="21"/>
          <w:highlight w:val="none"/>
        </w:rPr>
        <w:t>评审总得分相同的，按照扣除价格优惠后（如有）的最后报价由低到高的顺序推荐。评审得分且最后报价相同的，按照技术指标优劣顺序推荐。</w:t>
      </w:r>
    </w:p>
    <w:p>
      <w:pPr>
        <w:widowControl/>
        <w:shd w:val="clear" w:color="auto" w:fill="FFFFFF"/>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评标程序为确定入围投标人、否决投标评审、技术标评审和商务标评审。</w:t>
      </w:r>
    </w:p>
    <w:p>
      <w:pPr>
        <w:ind w:left="-124" w:leftChars="-59" w:firstLine="422" w:firstLineChars="200"/>
        <w:rPr>
          <w:rFonts w:ascii="宋体" w:hAnsi="宋体"/>
          <w:b/>
          <w:color w:val="auto"/>
          <w:szCs w:val="21"/>
          <w:highlight w:val="none"/>
        </w:rPr>
      </w:pPr>
      <w:r>
        <w:rPr>
          <w:rFonts w:hint="eastAsia" w:ascii="宋体" w:hAnsi="宋体"/>
          <w:b/>
          <w:color w:val="auto"/>
          <w:szCs w:val="21"/>
          <w:highlight w:val="none"/>
        </w:rPr>
        <w:t>注：疫情防控期间的评审注意事项详见投标人须知前附表相关内容。</w:t>
      </w:r>
    </w:p>
    <w:p>
      <w:pPr>
        <w:widowControl/>
        <w:shd w:val="clear" w:color="auto" w:fill="FFFFFF"/>
        <w:snapToGrid w:val="0"/>
        <w:spacing w:line="360" w:lineRule="auto"/>
        <w:rPr>
          <w:rFonts w:ascii="宋体" w:hAnsi="宋体"/>
          <w:b/>
          <w:color w:val="auto"/>
          <w:szCs w:val="21"/>
          <w:highlight w:val="none"/>
        </w:rPr>
      </w:pPr>
      <w:r>
        <w:rPr>
          <w:rFonts w:hint="eastAsia" w:ascii="宋体" w:hAnsi="宋体"/>
          <w:b/>
          <w:color w:val="auto"/>
          <w:szCs w:val="21"/>
          <w:highlight w:val="none"/>
        </w:rPr>
        <w:t>二、确定入围投标人</w:t>
      </w:r>
    </w:p>
    <w:p>
      <w:pPr>
        <w:widowControl/>
        <w:shd w:val="clear" w:color="auto" w:fill="FFFFFF"/>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全部入围。</w:t>
      </w:r>
    </w:p>
    <w:p>
      <w:pPr>
        <w:widowControl/>
        <w:shd w:val="clear" w:color="auto" w:fill="FFFFFF"/>
        <w:snapToGrid w:val="0"/>
        <w:spacing w:line="360" w:lineRule="auto"/>
        <w:rPr>
          <w:rFonts w:ascii="宋体" w:hAnsi="宋体"/>
          <w:b/>
          <w:color w:val="auto"/>
          <w:szCs w:val="21"/>
          <w:highlight w:val="none"/>
        </w:rPr>
      </w:pPr>
      <w:r>
        <w:rPr>
          <w:rFonts w:hint="eastAsia" w:ascii="宋体" w:hAnsi="宋体"/>
          <w:b/>
          <w:color w:val="auto"/>
          <w:szCs w:val="21"/>
          <w:highlight w:val="none"/>
        </w:rPr>
        <w:t>三、否决投标评审</w:t>
      </w:r>
    </w:p>
    <w:p>
      <w:pPr>
        <w:widowControl/>
        <w:shd w:val="clear" w:color="auto" w:fill="FFFFFF"/>
        <w:snapToGrid w:val="0"/>
        <w:spacing w:line="360" w:lineRule="auto"/>
        <w:ind w:firstLine="422" w:firstLineChars="200"/>
        <w:rPr>
          <w:rFonts w:ascii="宋体" w:hAnsi="宋体"/>
          <w:b/>
          <w:bCs/>
          <w:color w:val="auto"/>
          <w:szCs w:val="21"/>
          <w:highlight w:val="none"/>
        </w:rPr>
      </w:pPr>
      <w:r>
        <w:rPr>
          <w:rFonts w:ascii="宋体" w:hAnsi="宋体"/>
          <w:b/>
          <w:bCs/>
          <w:color w:val="auto"/>
          <w:szCs w:val="21"/>
          <w:highlight w:val="none"/>
        </w:rPr>
        <w:t>(</w:t>
      </w:r>
      <w:r>
        <w:rPr>
          <w:rFonts w:hint="eastAsia" w:ascii="宋体" w:hAnsi="宋体"/>
          <w:b/>
          <w:bCs/>
          <w:color w:val="auto"/>
          <w:szCs w:val="21"/>
          <w:highlight w:val="none"/>
        </w:rPr>
        <w:t>一</w:t>
      </w:r>
      <w:r>
        <w:rPr>
          <w:rFonts w:ascii="宋体" w:hAnsi="宋体"/>
          <w:b/>
          <w:bCs/>
          <w:color w:val="auto"/>
          <w:szCs w:val="21"/>
          <w:highlight w:val="none"/>
        </w:rPr>
        <w:t>)</w:t>
      </w:r>
      <w:r>
        <w:rPr>
          <w:rFonts w:hint="eastAsia" w:ascii="宋体" w:hAnsi="宋体"/>
          <w:b/>
          <w:bCs/>
          <w:color w:val="auto"/>
          <w:szCs w:val="21"/>
          <w:highlight w:val="none"/>
        </w:rPr>
        <w:t>投标文件未经投标人盖章和签字的。</w:t>
      </w:r>
    </w:p>
    <w:p>
      <w:pPr>
        <w:widowControl/>
        <w:shd w:val="clear" w:color="auto" w:fill="FFFFFF"/>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本项指投标文件下列内容未按招标文件提供的表式要求签字和盖章的：</w:t>
      </w:r>
    </w:p>
    <w:p>
      <w:pPr>
        <w:widowControl/>
        <w:shd w:val="clear" w:color="auto" w:fill="FFFFFF"/>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1.投标承诺书；</w:t>
      </w:r>
    </w:p>
    <w:p>
      <w:pPr>
        <w:widowControl/>
        <w:shd w:val="clear" w:color="auto" w:fill="FFFFFF"/>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2.投标函及投标函附录；</w:t>
      </w:r>
    </w:p>
    <w:p>
      <w:pPr>
        <w:widowControl/>
        <w:shd w:val="clear" w:color="auto" w:fill="FFFFFF"/>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.法定代表人证明书或法定代表人授权委托书</w:t>
      </w:r>
      <w:r>
        <w:rPr>
          <w:rFonts w:hint="eastAsia" w:ascii="宋体" w:hAnsi="宋体"/>
          <w:color w:val="auto"/>
          <w:szCs w:val="21"/>
          <w:highlight w:val="none"/>
        </w:rPr>
        <w:t>；</w:t>
      </w:r>
    </w:p>
    <w:p>
      <w:pPr>
        <w:widowControl/>
        <w:shd w:val="clear" w:color="auto" w:fill="FFFFFF"/>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联合体协议书（如有）。</w:t>
      </w:r>
    </w:p>
    <w:p>
      <w:pPr>
        <w:widowControl/>
        <w:shd w:val="clear" w:color="auto" w:fill="FFFFFF"/>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二</w:t>
      </w:r>
      <w:r>
        <w:rPr>
          <w:rFonts w:ascii="宋体" w:hAnsi="宋体"/>
          <w:color w:val="auto"/>
          <w:szCs w:val="21"/>
          <w:highlight w:val="none"/>
        </w:rPr>
        <w:t>)</w:t>
      </w:r>
      <w:r>
        <w:rPr>
          <w:rFonts w:hint="eastAsia" w:ascii="宋体" w:hAnsi="宋体"/>
          <w:b/>
          <w:color w:val="auto"/>
          <w:szCs w:val="21"/>
          <w:highlight w:val="none"/>
        </w:rPr>
        <w:t xml:space="preserve"> 投标人信用信息不满足招标文件要求的。</w:t>
      </w:r>
    </w:p>
    <w:p>
      <w:pPr>
        <w:widowControl/>
        <w:shd w:val="clear" w:color="auto" w:fill="FFFFFF"/>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代理机构工作人员将于投标截止当日在“信用中国”网站（www.creditchina.gov.cn）和中国政府采购网（www.ccgp.gov.cn）查询各投标人在投标截止当天前三年内的信用记录并打印查询结果留存。被列入失信被执行人、重大税收违法案件当事人、政府采购严重违法失信行为记录名单的将对其作否决投标处理，拒绝其参与政府采购活动。</w:t>
      </w:r>
    </w:p>
    <w:p>
      <w:pPr>
        <w:widowControl/>
        <w:shd w:val="clear" w:color="auto" w:fill="FFFFFF"/>
        <w:snapToGrid w:val="0"/>
        <w:spacing w:line="360" w:lineRule="auto"/>
        <w:ind w:firstLine="422" w:firstLineChars="200"/>
        <w:rPr>
          <w:rFonts w:ascii="宋体" w:hAnsi="宋体"/>
          <w:b/>
          <w:bCs/>
          <w:color w:val="auto"/>
          <w:szCs w:val="21"/>
          <w:highlight w:val="none"/>
        </w:rPr>
      </w:pPr>
      <w:r>
        <w:rPr>
          <w:rFonts w:ascii="宋体" w:hAnsi="宋体"/>
          <w:b/>
          <w:bCs/>
          <w:color w:val="auto"/>
          <w:szCs w:val="21"/>
          <w:highlight w:val="none"/>
        </w:rPr>
        <w:t>(</w:t>
      </w:r>
      <w:r>
        <w:rPr>
          <w:rFonts w:hint="eastAsia" w:ascii="宋体" w:hAnsi="宋体"/>
          <w:b/>
          <w:bCs/>
          <w:color w:val="auto"/>
          <w:szCs w:val="21"/>
          <w:highlight w:val="none"/>
        </w:rPr>
        <w:t>三</w:t>
      </w:r>
      <w:r>
        <w:rPr>
          <w:rFonts w:ascii="宋体" w:hAnsi="宋体"/>
          <w:b/>
          <w:bCs/>
          <w:color w:val="auto"/>
          <w:szCs w:val="21"/>
          <w:highlight w:val="none"/>
        </w:rPr>
        <w:t>)</w:t>
      </w:r>
      <w:r>
        <w:rPr>
          <w:rFonts w:hint="eastAsia" w:ascii="宋体" w:hAnsi="宋体"/>
          <w:b/>
          <w:bCs/>
          <w:color w:val="auto"/>
          <w:szCs w:val="21"/>
          <w:highlight w:val="none"/>
        </w:rPr>
        <w:t>投标人不符合国家或者招标文件规定的资格条件。</w:t>
      </w:r>
    </w:p>
    <w:p>
      <w:pPr>
        <w:widowControl/>
        <w:shd w:val="clear" w:color="auto" w:fill="FFFFFF"/>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.本项指投标人的资质条件不满足以下要求的：</w:t>
      </w:r>
    </w:p>
    <w:p>
      <w:pPr>
        <w:widowControl/>
        <w:shd w:val="clear" w:color="auto" w:fill="FFFFFF"/>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（1）投标人名称与营业执照、资质证书、安全生产许可证一致，且有效；</w:t>
      </w:r>
    </w:p>
    <w:p>
      <w:pPr>
        <w:widowControl/>
        <w:shd w:val="clear" w:color="auto" w:fill="FFFFFF"/>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（2）资质条件符合国家规定和招标文件要求；</w:t>
      </w:r>
    </w:p>
    <w:p>
      <w:pPr>
        <w:widowControl/>
        <w:shd w:val="clear" w:color="auto" w:fill="FFFFFF"/>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（3）符合《中华人民共和国政府采购法》第二十二条的规定（具体内容详见投标人须知前附表</w:t>
      </w:r>
      <w:r>
        <w:rPr>
          <w:rFonts w:ascii="宋体" w:hAnsi="宋体"/>
          <w:color w:val="auto"/>
          <w:szCs w:val="21"/>
          <w:highlight w:val="none"/>
        </w:rPr>
        <w:t>10.2</w:t>
      </w:r>
      <w:r>
        <w:rPr>
          <w:rFonts w:hint="eastAsia" w:ascii="宋体" w:hAnsi="宋体"/>
          <w:color w:val="auto"/>
          <w:szCs w:val="21"/>
          <w:highlight w:val="none"/>
        </w:rPr>
        <w:t>款）；</w:t>
      </w:r>
    </w:p>
    <w:p>
      <w:pPr>
        <w:widowControl/>
        <w:shd w:val="clear" w:color="auto" w:fill="FFFFFF"/>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项目负责人资格符合招标文件规定的专业等级要求，且不得同时担任两个及以上建设工程项目经理，同一工程相邻分段发包或者分期施工的除外，以投标文件中提供的加盖单位公章的《投标项目负责人基本情况表》为准（通过上海市住房和城乡建设管理委员会网站zjw.sh.gov.cn查询、打印，投标截止时间前7天内打印有效），否则否决其投标；</w:t>
      </w:r>
    </w:p>
    <w:p>
      <w:pPr>
        <w:tabs>
          <w:tab w:val="left" w:pos="360"/>
          <w:tab w:val="left" w:pos="540"/>
        </w:tabs>
        <w:adjustRightInd w:val="0"/>
        <w:spacing w:line="360" w:lineRule="auto"/>
        <w:ind w:left="420"/>
        <w:jc w:val="left"/>
        <w:rPr>
          <w:rFonts w:ascii="宋体" w:hAnsi="宋体"/>
          <w:color w:val="auto"/>
          <w:szCs w:val="21"/>
          <w:highlight w:val="none"/>
        </w:rPr>
      </w:pPr>
      <w:bookmarkStart w:id="78" w:name="_Hlk17894663"/>
      <w:r>
        <w:rPr>
          <w:rFonts w:hint="eastAsia" w:ascii="宋体" w:hAnsi="宋体"/>
          <w:color w:val="auto"/>
          <w:szCs w:val="21"/>
          <w:highlight w:val="none"/>
        </w:rPr>
        <w:t>（5）投标人已根据《上海市政府采购供应商登记及诚信管理办法》进行登记，并已成为会员供应商的网页截图（注：本项资格证明文件无需由投标人提供，采购代理机构或采购人工作人员将于投标截止日当天在上海政府采购网查询并将查询结果页面打印后与其他采购文件一并保存）</w:t>
      </w:r>
    </w:p>
    <w:bookmarkEnd w:id="78"/>
    <w:p>
      <w:pPr>
        <w:widowControl/>
        <w:shd w:val="clear" w:color="auto" w:fill="FFFFFF"/>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w:t>
      </w:r>
      <w:r>
        <w:rPr>
          <w:rFonts w:ascii="宋体" w:hAnsi="宋体"/>
          <w:color w:val="auto"/>
          <w:szCs w:val="21"/>
          <w:highlight w:val="none"/>
        </w:rPr>
        <w:t>招标文件规定的其他条件。</w:t>
      </w:r>
    </w:p>
    <w:p>
      <w:pPr>
        <w:widowControl/>
        <w:shd w:val="clear" w:color="auto" w:fill="FFFFFF"/>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.本项还指投标人存在本招标文件第二章“投标人须知正文”第</w:t>
      </w:r>
      <w:r>
        <w:rPr>
          <w:rFonts w:ascii="宋体" w:hAnsi="宋体"/>
          <w:color w:val="auto"/>
          <w:szCs w:val="21"/>
          <w:highlight w:val="none"/>
        </w:rPr>
        <w:t>1.4.3</w:t>
      </w:r>
      <w:r>
        <w:rPr>
          <w:rFonts w:hint="eastAsia" w:ascii="宋体" w:hAnsi="宋体"/>
          <w:color w:val="auto"/>
          <w:szCs w:val="21"/>
          <w:highlight w:val="none"/>
        </w:rPr>
        <w:t>项情形之一的。</w:t>
      </w:r>
    </w:p>
    <w:p>
      <w:pPr>
        <w:widowControl/>
        <w:shd w:val="clear" w:color="auto" w:fill="FFFFFF"/>
        <w:snapToGrid w:val="0"/>
        <w:spacing w:line="360" w:lineRule="auto"/>
        <w:ind w:firstLine="422" w:firstLineChars="200"/>
        <w:rPr>
          <w:rFonts w:ascii="宋体" w:hAnsi="宋体"/>
          <w:b/>
          <w:bCs/>
          <w:color w:val="auto"/>
          <w:szCs w:val="21"/>
          <w:highlight w:val="none"/>
        </w:rPr>
      </w:pPr>
      <w:r>
        <w:rPr>
          <w:rFonts w:ascii="宋体" w:hAnsi="宋体"/>
          <w:b/>
          <w:bCs/>
          <w:color w:val="auto"/>
          <w:szCs w:val="21"/>
          <w:highlight w:val="none"/>
        </w:rPr>
        <w:t>(</w:t>
      </w:r>
      <w:r>
        <w:rPr>
          <w:rFonts w:hint="eastAsia" w:ascii="宋体" w:hAnsi="宋体"/>
          <w:b/>
          <w:bCs/>
          <w:color w:val="auto"/>
          <w:szCs w:val="21"/>
          <w:highlight w:val="none"/>
        </w:rPr>
        <w:t>四</w:t>
      </w:r>
      <w:r>
        <w:rPr>
          <w:rFonts w:ascii="宋体" w:hAnsi="宋体"/>
          <w:b/>
          <w:bCs/>
          <w:color w:val="auto"/>
          <w:szCs w:val="21"/>
          <w:highlight w:val="none"/>
        </w:rPr>
        <w:t>)</w:t>
      </w:r>
      <w:r>
        <w:rPr>
          <w:rFonts w:hint="eastAsia" w:ascii="宋体" w:hAnsi="宋体"/>
          <w:b/>
          <w:bCs/>
          <w:color w:val="auto"/>
          <w:szCs w:val="21"/>
          <w:highlight w:val="none"/>
        </w:rPr>
        <w:t>投标文件没有对招标文件的实质性要求和条件作出响应。</w:t>
      </w:r>
    </w:p>
    <w:p>
      <w:pPr>
        <w:widowControl/>
        <w:shd w:val="clear" w:color="auto" w:fill="FFFFFF"/>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1.改变暂估价、暂列金额或者工程量的；</w:t>
      </w:r>
    </w:p>
    <w:p>
      <w:pPr>
        <w:widowControl/>
        <w:shd w:val="clear" w:color="auto" w:fill="FFFFFF"/>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2.工期超过招标文件规定的；</w:t>
      </w:r>
    </w:p>
    <w:p>
      <w:pPr>
        <w:widowControl/>
        <w:shd w:val="clear" w:color="auto" w:fill="FFFFFF"/>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3.质量不满足招标文件规定的；</w:t>
      </w:r>
    </w:p>
    <w:p>
      <w:pPr>
        <w:widowControl/>
        <w:shd w:val="clear" w:color="auto" w:fill="FFFFFF"/>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4.未按招标文件要求提交投标保证金的；</w:t>
      </w:r>
    </w:p>
    <w:p>
      <w:pPr>
        <w:widowControl/>
        <w:shd w:val="clear" w:color="auto" w:fill="FFFFFF"/>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投标人代表与投标文件中的授权代表不一致或未携带本人身份证明材料原件的；</w:t>
      </w:r>
    </w:p>
    <w:p>
      <w:pPr>
        <w:widowControl/>
        <w:shd w:val="clear" w:color="auto" w:fill="FFFFFF"/>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投标人不按评标委员会要求澄清、说明的；</w:t>
      </w:r>
    </w:p>
    <w:p>
      <w:pPr>
        <w:widowControl/>
        <w:shd w:val="clear" w:color="auto" w:fill="FFFFFF"/>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7.其他未对招标文件实质性要求和条件作出响应的（</w:t>
      </w:r>
      <w:bookmarkStart w:id="79" w:name="_Hlk17879867"/>
      <w:r>
        <w:rPr>
          <w:rFonts w:hint="eastAsia" w:ascii="宋体" w:hAnsi="宋体"/>
          <w:color w:val="auto"/>
          <w:szCs w:val="21"/>
          <w:highlight w:val="none"/>
        </w:rPr>
        <w:t>标★条款，如有</w:t>
      </w:r>
      <w:bookmarkEnd w:id="79"/>
      <w:r>
        <w:rPr>
          <w:rFonts w:hint="eastAsia" w:ascii="宋体" w:hAnsi="宋体"/>
          <w:color w:val="auto"/>
          <w:szCs w:val="21"/>
          <w:highlight w:val="none"/>
        </w:rPr>
        <w:t>）。</w:t>
      </w:r>
    </w:p>
    <w:p>
      <w:pPr>
        <w:widowControl/>
        <w:shd w:val="clear" w:color="auto" w:fill="FFFFFF"/>
        <w:snapToGrid w:val="0"/>
        <w:spacing w:line="360" w:lineRule="auto"/>
        <w:ind w:firstLine="422" w:firstLineChars="200"/>
        <w:rPr>
          <w:rFonts w:ascii="宋体" w:hAnsi="宋体"/>
          <w:b/>
          <w:bCs/>
          <w:color w:val="auto"/>
          <w:szCs w:val="21"/>
          <w:highlight w:val="none"/>
        </w:rPr>
      </w:pPr>
      <w:r>
        <w:rPr>
          <w:rFonts w:ascii="宋体" w:hAnsi="宋体"/>
          <w:b/>
          <w:bCs/>
          <w:color w:val="auto"/>
          <w:szCs w:val="21"/>
          <w:highlight w:val="none"/>
        </w:rPr>
        <w:t>(</w:t>
      </w:r>
      <w:r>
        <w:rPr>
          <w:rFonts w:hint="eastAsia" w:ascii="宋体" w:hAnsi="宋体"/>
          <w:b/>
          <w:bCs/>
          <w:color w:val="auto"/>
          <w:szCs w:val="21"/>
          <w:highlight w:val="none"/>
        </w:rPr>
        <w:t>五</w:t>
      </w:r>
      <w:r>
        <w:rPr>
          <w:rFonts w:ascii="宋体" w:hAnsi="宋体"/>
          <w:b/>
          <w:bCs/>
          <w:color w:val="auto"/>
          <w:szCs w:val="21"/>
          <w:highlight w:val="none"/>
        </w:rPr>
        <w:t>)</w:t>
      </w:r>
      <w:r>
        <w:rPr>
          <w:rFonts w:hint="eastAsia" w:ascii="宋体" w:hAnsi="宋体"/>
          <w:b/>
          <w:bCs/>
          <w:color w:val="auto"/>
          <w:szCs w:val="21"/>
          <w:highlight w:val="none"/>
        </w:rPr>
        <w:t>投标人有串通投标、弄虚作假、行贿等违法行为的。</w:t>
      </w:r>
    </w:p>
    <w:p>
      <w:pPr>
        <w:widowControl/>
        <w:shd w:val="clear" w:color="auto" w:fill="FFFFFF"/>
        <w:snapToGrid w:val="0"/>
        <w:spacing w:line="360" w:lineRule="auto"/>
        <w:ind w:firstLine="422" w:firstLineChars="200"/>
        <w:rPr>
          <w:rFonts w:ascii="宋体" w:hAnsi="宋体"/>
          <w:b/>
          <w:bCs/>
          <w:color w:val="auto"/>
          <w:szCs w:val="21"/>
          <w:highlight w:val="none"/>
        </w:rPr>
      </w:pPr>
      <w:r>
        <w:rPr>
          <w:rFonts w:ascii="宋体" w:hAnsi="宋体"/>
          <w:b/>
          <w:bCs/>
          <w:color w:val="auto"/>
          <w:szCs w:val="21"/>
          <w:highlight w:val="none"/>
        </w:rPr>
        <w:t>(</w:t>
      </w:r>
      <w:r>
        <w:rPr>
          <w:rFonts w:hint="eastAsia" w:ascii="宋体" w:hAnsi="宋体"/>
          <w:b/>
          <w:bCs/>
          <w:color w:val="auto"/>
          <w:szCs w:val="21"/>
          <w:highlight w:val="none"/>
        </w:rPr>
        <w:t>六)投标报价低于成本或者高于招标文件设定的最高投标限价的。</w:t>
      </w:r>
    </w:p>
    <w:p>
      <w:pPr>
        <w:widowControl/>
        <w:shd w:val="clear" w:color="auto" w:fill="FFFFFF"/>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.投标报价超出最高投标限价的；</w:t>
      </w:r>
    </w:p>
    <w:p>
      <w:pPr>
        <w:widowControl/>
        <w:shd w:val="clear" w:color="auto" w:fill="FFFFFF"/>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投标人在对安全防护、文明施工费（包含安全施工、文明施工、环境保护和临时设施四项费用）的措施费报价时，应按照上海市建设和交通委员会“沪建交（2006）445号”文的规定及本招标文件的报价要求，结合投标人在本工程项目中所采用的施工组织设计、开列明细清单进行报价。安全文明施工低于分部分项工程费乘以最低费率</w:t>
      </w:r>
      <w:r>
        <w:rPr>
          <w:rFonts w:hint="eastAsia" w:ascii="宋体" w:hAnsi="宋体"/>
          <w:color w:val="auto"/>
          <w:szCs w:val="21"/>
          <w:highlight w:val="none"/>
          <w:u w:val="single"/>
        </w:rPr>
        <w:t>3.3</w:t>
      </w:r>
      <w:r>
        <w:rPr>
          <w:rFonts w:ascii="宋体" w:hAnsi="宋体"/>
          <w:color w:val="auto"/>
          <w:szCs w:val="21"/>
          <w:highlight w:val="none"/>
        </w:rPr>
        <w:t>%的90%（即</w:t>
      </w:r>
      <w:r>
        <w:rPr>
          <w:rFonts w:hint="eastAsia" w:ascii="宋体" w:hAnsi="宋体"/>
          <w:color w:val="auto"/>
          <w:szCs w:val="21"/>
          <w:highlight w:val="none"/>
          <w:u w:val="single"/>
        </w:rPr>
        <w:t>2.97%</w:t>
      </w:r>
      <w:r>
        <w:rPr>
          <w:rFonts w:ascii="宋体" w:hAnsi="宋体"/>
          <w:color w:val="auto"/>
          <w:szCs w:val="21"/>
          <w:highlight w:val="none"/>
        </w:rPr>
        <w:t>）</w:t>
      </w:r>
      <w:r>
        <w:rPr>
          <w:rFonts w:hint="eastAsia" w:ascii="宋体" w:hAnsi="宋体"/>
          <w:color w:val="auto"/>
          <w:szCs w:val="21"/>
          <w:highlight w:val="none"/>
        </w:rPr>
        <w:t>的否决其投标；</w:t>
      </w:r>
    </w:p>
    <w:p>
      <w:pPr>
        <w:widowControl/>
        <w:shd w:val="clear" w:color="auto" w:fill="FFFFFF"/>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.规费：未按照《关于调整本市建设工程造价中社会保险费率的通知》（沪建市管〔2019〕24号）相关要求执行的。</w:t>
      </w:r>
    </w:p>
    <w:p>
      <w:pPr>
        <w:widowControl/>
        <w:shd w:val="clear" w:color="auto" w:fill="FFFFFF"/>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4.增值税：未按照</w:t>
      </w:r>
      <w:r>
        <w:rPr>
          <w:rFonts w:hint="eastAsia" w:ascii="宋体" w:hAnsi="宋体"/>
          <w:bCs/>
          <w:color w:val="auto"/>
          <w:szCs w:val="21"/>
          <w:highlight w:val="none"/>
        </w:rPr>
        <w:t>《关于调整本市建设工程计价依据增值税税率等有关事项的通知》（沪建市管〔2019〕19号）</w:t>
      </w:r>
      <w:r>
        <w:rPr>
          <w:rFonts w:hint="eastAsia" w:ascii="宋体" w:hAnsi="宋体"/>
          <w:color w:val="auto"/>
          <w:szCs w:val="21"/>
          <w:highlight w:val="none"/>
        </w:rPr>
        <w:t>的规定执行的，作否决其投标处理；</w:t>
      </w:r>
    </w:p>
    <w:p>
      <w:pPr>
        <w:widowControl/>
        <w:shd w:val="clear" w:color="auto" w:fill="FFFFFF"/>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四、商务标</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rPr>
        <w:t>技术标</w:t>
      </w:r>
      <w:r>
        <w:rPr>
          <w:rFonts w:hint="eastAsia" w:asciiTheme="minorEastAsia" w:hAnsiTheme="minorEastAsia" w:eastAsiaTheme="minorEastAsia"/>
          <w:b/>
          <w:color w:val="auto"/>
          <w:szCs w:val="21"/>
          <w:highlight w:val="none"/>
          <w:lang w:val="en-US" w:eastAsia="zh-CN"/>
        </w:rPr>
        <w:t>、信用标</w:t>
      </w:r>
      <w:r>
        <w:rPr>
          <w:rFonts w:hint="eastAsia" w:asciiTheme="minorEastAsia" w:hAnsiTheme="minorEastAsia" w:eastAsiaTheme="minorEastAsia"/>
          <w:b/>
          <w:color w:val="auto"/>
          <w:szCs w:val="21"/>
          <w:highlight w:val="none"/>
        </w:rPr>
        <w:t>评审</w:t>
      </w:r>
    </w:p>
    <w:p>
      <w:pPr>
        <w:widowControl/>
        <w:shd w:val="clear" w:color="auto" w:fill="FFFFFF"/>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.商务标评审（分值权重为</w:t>
      </w:r>
      <w:r>
        <w:rPr>
          <w:rFonts w:hint="eastAsia" w:ascii="宋体" w:hAnsi="宋体"/>
          <w:color w:val="auto"/>
          <w:szCs w:val="21"/>
          <w:highlight w:val="none"/>
          <w:lang w:val="en-US" w:eastAsia="zh-CN"/>
        </w:rPr>
        <w:t>55</w:t>
      </w:r>
      <w:r>
        <w:rPr>
          <w:rFonts w:hint="eastAsia" w:ascii="宋体" w:hAnsi="宋体"/>
          <w:color w:val="auto"/>
          <w:szCs w:val="21"/>
          <w:highlight w:val="none"/>
        </w:rPr>
        <w:t>分），评审内容如下：</w:t>
      </w:r>
    </w:p>
    <w:p>
      <w:pPr>
        <w:widowControl/>
        <w:shd w:val="clear" w:color="auto" w:fill="FFFFFF"/>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（1）报价得分</w:t>
      </w:r>
    </w:p>
    <w:p>
      <w:pPr>
        <w:widowControl/>
        <w:shd w:val="clear" w:color="auto" w:fill="FFFFFF"/>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投标人</w:t>
      </w:r>
      <w:r>
        <w:rPr>
          <w:rFonts w:hint="eastAsia" w:ascii="宋体" w:hAnsi="宋体"/>
          <w:color w:val="auto"/>
          <w:szCs w:val="21"/>
          <w:highlight w:val="none"/>
        </w:rPr>
        <w:t>报价得分=（符合性审查合格的最低</w:t>
      </w:r>
      <w:r>
        <w:rPr>
          <w:rFonts w:hint="eastAsia" w:ascii="宋体" w:hAnsi="宋体"/>
          <w:color w:val="auto"/>
          <w:szCs w:val="21"/>
          <w:highlight w:val="none"/>
          <w:lang w:val="en-US" w:eastAsia="zh-CN"/>
        </w:rPr>
        <w:t>投标</w:t>
      </w:r>
      <w:r>
        <w:rPr>
          <w:rFonts w:hint="eastAsia" w:ascii="宋体" w:hAnsi="宋体"/>
          <w:color w:val="auto"/>
          <w:szCs w:val="21"/>
          <w:highlight w:val="none"/>
        </w:rPr>
        <w:t>报价÷</w:t>
      </w:r>
      <w:r>
        <w:rPr>
          <w:rFonts w:hint="eastAsia" w:ascii="宋体" w:hAnsi="宋体"/>
          <w:color w:val="auto"/>
          <w:szCs w:val="21"/>
          <w:highlight w:val="none"/>
          <w:lang w:val="en-US" w:eastAsia="zh-CN"/>
        </w:rPr>
        <w:t>投标</w:t>
      </w:r>
      <w:r>
        <w:rPr>
          <w:rFonts w:hint="eastAsia" w:ascii="宋体" w:hAnsi="宋体"/>
          <w:color w:val="auto"/>
          <w:szCs w:val="21"/>
          <w:highlight w:val="none"/>
        </w:rPr>
        <w:t>报价）×</w:t>
      </w:r>
      <w:r>
        <w:rPr>
          <w:rFonts w:hint="eastAsia" w:ascii="宋体" w:hAnsi="宋体"/>
          <w:color w:val="auto"/>
          <w:szCs w:val="21"/>
          <w:highlight w:val="none"/>
          <w:lang w:val="en-US" w:eastAsia="zh-CN"/>
        </w:rPr>
        <w:t>50</w:t>
      </w:r>
      <w:r>
        <w:rPr>
          <w:rFonts w:hint="eastAsia" w:ascii="宋体" w:hAnsi="宋体"/>
          <w:color w:val="auto"/>
          <w:szCs w:val="21"/>
          <w:highlight w:val="none"/>
        </w:rPr>
        <w:t>；</w:t>
      </w:r>
    </w:p>
    <w:p>
      <w:pPr>
        <w:widowControl/>
        <w:shd w:val="clear" w:color="auto" w:fill="FFFFFF"/>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2）本工程对小型和微型企业供应商产品的价格给予6%的扣除，用扣除后的价格参与评审。其要求标准详见《政府采购促进中小企业发展暂行办法》（财库〔2011〕181号）中相关规定。</w:t>
      </w:r>
    </w:p>
    <w:p>
      <w:pPr>
        <w:widowControl/>
        <w:shd w:val="clear" w:color="auto" w:fill="FFFFFF"/>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（2）施工工期：（</w:t>
      </w:r>
      <w:r>
        <w:rPr>
          <w:rFonts w:ascii="宋体" w:hAnsi="宋体"/>
          <w:color w:val="auto"/>
          <w:szCs w:val="21"/>
          <w:highlight w:val="none"/>
        </w:rPr>
        <w:t>2</w:t>
      </w:r>
      <w:r>
        <w:rPr>
          <w:rFonts w:hint="eastAsia" w:ascii="宋体" w:hAnsi="宋体"/>
          <w:color w:val="auto"/>
          <w:szCs w:val="21"/>
          <w:highlight w:val="none"/>
        </w:rPr>
        <w:t>分）</w:t>
      </w:r>
    </w:p>
    <w:p>
      <w:pPr>
        <w:widowControl/>
        <w:shd w:val="clear" w:color="auto" w:fill="FFFFFF"/>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投标人自报施工工期相应的处罚措施能满足招标文件要求的得</w:t>
      </w:r>
      <w:r>
        <w:rPr>
          <w:rFonts w:ascii="宋体" w:hAnsi="宋体"/>
          <w:color w:val="auto"/>
          <w:szCs w:val="21"/>
          <w:highlight w:val="none"/>
        </w:rPr>
        <w:t>2</w:t>
      </w:r>
      <w:r>
        <w:rPr>
          <w:rFonts w:hint="eastAsia" w:ascii="宋体" w:hAnsi="宋体"/>
          <w:color w:val="auto"/>
          <w:szCs w:val="21"/>
          <w:highlight w:val="none"/>
        </w:rPr>
        <w:t>分，自报相应的处罚措施不能满足招标文件要求的不得分。承诺须在上海市建设工程施工投标标书情况汇总表中列明，否则不得分。</w:t>
      </w:r>
    </w:p>
    <w:p>
      <w:pPr>
        <w:widowControl/>
        <w:shd w:val="clear" w:color="auto" w:fill="FFFFFF"/>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（3）工程质量：（</w:t>
      </w:r>
      <w:r>
        <w:rPr>
          <w:rFonts w:ascii="宋体" w:hAnsi="宋体"/>
          <w:color w:val="auto"/>
          <w:szCs w:val="21"/>
          <w:highlight w:val="none"/>
        </w:rPr>
        <w:t>2</w:t>
      </w:r>
      <w:r>
        <w:rPr>
          <w:rFonts w:hint="eastAsia" w:ascii="宋体" w:hAnsi="宋体"/>
          <w:color w:val="auto"/>
          <w:szCs w:val="21"/>
          <w:highlight w:val="none"/>
        </w:rPr>
        <w:t>分）</w:t>
      </w:r>
    </w:p>
    <w:p>
      <w:pPr>
        <w:widowControl/>
        <w:shd w:val="clear" w:color="auto" w:fill="FFFFFF"/>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投标人自报质量标准为一次性验收合格率100%者得1分；有经济处罚及后续保修承诺的加1分，承诺须在上海市建设工程施工投标标书情况汇总表中列明，否则不得分。最高2分。</w:t>
      </w:r>
    </w:p>
    <w:p>
      <w:pPr>
        <w:widowControl/>
        <w:shd w:val="clear" w:color="auto" w:fill="FFFFFF"/>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（4）渣土垃圾：（</w:t>
      </w:r>
      <w:r>
        <w:rPr>
          <w:rFonts w:ascii="宋体" w:hAnsi="宋体"/>
          <w:color w:val="auto"/>
          <w:szCs w:val="21"/>
          <w:highlight w:val="none"/>
        </w:rPr>
        <w:t>1</w:t>
      </w:r>
      <w:r>
        <w:rPr>
          <w:rFonts w:hint="eastAsia" w:ascii="宋体" w:hAnsi="宋体"/>
          <w:color w:val="auto"/>
          <w:szCs w:val="21"/>
          <w:highlight w:val="none"/>
        </w:rPr>
        <w:t>分）</w:t>
      </w:r>
    </w:p>
    <w:p>
      <w:pPr>
        <w:widowControl/>
        <w:shd w:val="clear" w:color="auto" w:fill="FFFFFF"/>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凡投标文件作出有关对“渣土垃圾”的整治处置及违约措施并承诺若违约，采购人将有权从中标人应得的工程款中扣除不少于施工合同总价</w:t>
      </w:r>
      <w:r>
        <w:rPr>
          <w:rFonts w:ascii="宋体" w:hAnsi="宋体"/>
          <w:color w:val="auto"/>
          <w:szCs w:val="21"/>
          <w:highlight w:val="none"/>
        </w:rPr>
        <w:t>1%</w:t>
      </w:r>
      <w:r>
        <w:rPr>
          <w:rFonts w:hint="eastAsia" w:ascii="宋体" w:hAnsi="宋体"/>
          <w:color w:val="auto"/>
          <w:szCs w:val="21"/>
          <w:highlight w:val="none"/>
        </w:rPr>
        <w:t>的金额作为违约金的，得</w:t>
      </w:r>
      <w:r>
        <w:rPr>
          <w:rFonts w:ascii="宋体" w:hAnsi="宋体"/>
          <w:color w:val="auto"/>
          <w:szCs w:val="21"/>
          <w:highlight w:val="none"/>
        </w:rPr>
        <w:t>1</w:t>
      </w:r>
      <w:r>
        <w:rPr>
          <w:rFonts w:hint="eastAsia" w:ascii="宋体" w:hAnsi="宋体"/>
          <w:color w:val="auto"/>
          <w:szCs w:val="21"/>
          <w:highlight w:val="none"/>
        </w:rPr>
        <w:t>分；若违约时从工程款中扣除施工合同总价的具体费率低于</w:t>
      </w:r>
      <w:r>
        <w:rPr>
          <w:rFonts w:ascii="宋体" w:hAnsi="宋体"/>
          <w:color w:val="auto"/>
          <w:szCs w:val="21"/>
          <w:highlight w:val="none"/>
        </w:rPr>
        <w:t>1%</w:t>
      </w:r>
      <w:r>
        <w:rPr>
          <w:rFonts w:hint="eastAsia" w:ascii="宋体" w:hAnsi="宋体"/>
          <w:color w:val="auto"/>
          <w:szCs w:val="21"/>
          <w:highlight w:val="none"/>
        </w:rPr>
        <w:t>的，或投标文件中对“渣土垃圾”的整治处置及违约措施未作出承诺的，投标人该项不得分。承诺须在上海市建设工程施工投标标书情况汇总表中列明，否则不得分。</w:t>
      </w:r>
    </w:p>
    <w:p>
      <w:pPr>
        <w:widowControl/>
        <w:shd w:val="clear" w:color="auto" w:fill="FFFFFF"/>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.技术标评审（</w:t>
      </w:r>
      <w:r>
        <w:rPr>
          <w:rFonts w:hint="eastAsia" w:ascii="宋体" w:hAnsi="宋体"/>
          <w:color w:val="auto"/>
          <w:szCs w:val="21"/>
          <w:highlight w:val="none"/>
          <w:lang w:val="en-US" w:eastAsia="zh-CN"/>
        </w:rPr>
        <w:t>15</w:t>
      </w:r>
      <w:r>
        <w:rPr>
          <w:rFonts w:hint="eastAsia" w:ascii="宋体" w:hAnsi="宋体"/>
          <w:color w:val="auto"/>
          <w:szCs w:val="21"/>
          <w:highlight w:val="none"/>
        </w:rPr>
        <w:t>分—</w:t>
      </w:r>
      <w:r>
        <w:rPr>
          <w:rFonts w:hint="eastAsia" w:ascii="宋体" w:hAnsi="宋体"/>
          <w:color w:val="auto"/>
          <w:szCs w:val="21"/>
          <w:highlight w:val="none"/>
          <w:lang w:val="en-US" w:eastAsia="zh-CN"/>
        </w:rPr>
        <w:t>45</w:t>
      </w:r>
      <w:r>
        <w:rPr>
          <w:rFonts w:hint="eastAsia" w:ascii="宋体" w:hAnsi="宋体"/>
          <w:color w:val="auto"/>
          <w:szCs w:val="21"/>
          <w:highlight w:val="none"/>
        </w:rPr>
        <w:t>分），评审内容如下：</w:t>
      </w:r>
    </w:p>
    <w:p>
      <w:pPr>
        <w:widowControl/>
        <w:shd w:val="clear" w:color="auto" w:fill="FFFFFF"/>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（1）确保工程在规定的工期内安全、优质完成的施工技术方案、措施（</w:t>
      </w:r>
      <w:r>
        <w:rPr>
          <w:rFonts w:hint="eastAsia" w:ascii="宋体" w:hAnsi="宋体"/>
          <w:color w:val="auto"/>
          <w:szCs w:val="21"/>
          <w:highlight w:val="none"/>
          <w:lang w:val="en-US" w:eastAsia="zh-CN"/>
        </w:rPr>
        <w:t>3</w:t>
      </w:r>
      <w:r>
        <w:rPr>
          <w:rFonts w:hint="eastAsia" w:ascii="宋体" w:hAnsi="宋体"/>
          <w:color w:val="auto"/>
          <w:szCs w:val="21"/>
          <w:highlight w:val="none"/>
        </w:rPr>
        <w:t>分至</w:t>
      </w:r>
      <w:r>
        <w:rPr>
          <w:rFonts w:hint="eastAsia" w:ascii="宋体" w:hAnsi="宋体"/>
          <w:color w:val="auto"/>
          <w:szCs w:val="21"/>
          <w:highlight w:val="none"/>
          <w:lang w:val="en-US" w:eastAsia="zh-CN"/>
        </w:rPr>
        <w:t>8</w:t>
      </w:r>
      <w:r>
        <w:rPr>
          <w:rFonts w:hint="eastAsia" w:ascii="宋体" w:hAnsi="宋体"/>
          <w:color w:val="auto"/>
          <w:szCs w:val="21"/>
          <w:highlight w:val="none"/>
        </w:rPr>
        <w:t>分）；</w:t>
      </w:r>
    </w:p>
    <w:p>
      <w:pPr>
        <w:widowControl/>
        <w:shd w:val="clear" w:color="auto" w:fill="FFFFFF"/>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（2）施工现场平面图布置（</w:t>
      </w:r>
      <w:r>
        <w:rPr>
          <w:rFonts w:hint="eastAsia" w:ascii="宋体" w:hAnsi="宋体"/>
          <w:color w:val="auto"/>
          <w:szCs w:val="21"/>
          <w:highlight w:val="none"/>
          <w:lang w:val="en-US" w:eastAsia="zh-CN"/>
        </w:rPr>
        <w:t>3</w:t>
      </w:r>
      <w:r>
        <w:rPr>
          <w:rFonts w:hint="eastAsia" w:ascii="宋体" w:hAnsi="宋体"/>
          <w:color w:val="auto"/>
          <w:szCs w:val="21"/>
          <w:highlight w:val="none"/>
        </w:rPr>
        <w:t>分至</w:t>
      </w:r>
      <w:r>
        <w:rPr>
          <w:rFonts w:hint="eastAsia" w:ascii="宋体" w:hAnsi="宋体"/>
          <w:color w:val="auto"/>
          <w:szCs w:val="21"/>
          <w:highlight w:val="none"/>
          <w:lang w:val="en-US" w:eastAsia="zh-CN"/>
        </w:rPr>
        <w:t>8</w:t>
      </w:r>
      <w:r>
        <w:rPr>
          <w:rFonts w:hint="eastAsia" w:ascii="宋体" w:hAnsi="宋体"/>
          <w:color w:val="auto"/>
          <w:szCs w:val="21"/>
          <w:highlight w:val="none"/>
        </w:rPr>
        <w:t>分）；</w:t>
      </w:r>
    </w:p>
    <w:p>
      <w:pPr>
        <w:widowControl/>
        <w:shd w:val="clear" w:color="auto" w:fill="FFFFFF"/>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（3）确保安全生产、文明施工的技术措施（</w:t>
      </w:r>
      <w:r>
        <w:rPr>
          <w:rFonts w:hint="eastAsia" w:ascii="宋体" w:hAnsi="宋体"/>
          <w:color w:val="auto"/>
          <w:szCs w:val="21"/>
          <w:highlight w:val="none"/>
          <w:lang w:val="en-US" w:eastAsia="zh-CN"/>
        </w:rPr>
        <w:t>3</w:t>
      </w:r>
      <w:r>
        <w:rPr>
          <w:rFonts w:hint="eastAsia" w:ascii="宋体" w:hAnsi="宋体"/>
          <w:color w:val="auto"/>
          <w:szCs w:val="21"/>
          <w:highlight w:val="none"/>
        </w:rPr>
        <w:t>分至</w:t>
      </w:r>
      <w:r>
        <w:rPr>
          <w:rFonts w:hint="eastAsia" w:ascii="宋体" w:hAnsi="宋体"/>
          <w:color w:val="auto"/>
          <w:szCs w:val="21"/>
          <w:highlight w:val="none"/>
          <w:lang w:val="en-US" w:eastAsia="zh-CN"/>
        </w:rPr>
        <w:t>8</w:t>
      </w:r>
      <w:r>
        <w:rPr>
          <w:rFonts w:hint="eastAsia" w:ascii="宋体" w:hAnsi="宋体"/>
          <w:color w:val="auto"/>
          <w:szCs w:val="21"/>
          <w:highlight w:val="none"/>
        </w:rPr>
        <w:t>分）；</w:t>
      </w:r>
    </w:p>
    <w:p>
      <w:pPr>
        <w:widowControl/>
        <w:shd w:val="clear" w:color="auto" w:fill="FFFFFF"/>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（4）称职的项目经理、强有力的项目管理班子及充足的技术力量配备（</w:t>
      </w:r>
      <w:r>
        <w:rPr>
          <w:rFonts w:hint="eastAsia" w:ascii="宋体" w:hAnsi="宋体"/>
          <w:color w:val="auto"/>
          <w:szCs w:val="21"/>
          <w:highlight w:val="none"/>
          <w:lang w:val="en-US" w:eastAsia="zh-CN"/>
        </w:rPr>
        <w:t>2</w:t>
      </w:r>
      <w:r>
        <w:rPr>
          <w:rFonts w:hint="eastAsia" w:ascii="宋体" w:hAnsi="宋体"/>
          <w:color w:val="auto"/>
          <w:szCs w:val="21"/>
          <w:highlight w:val="none"/>
        </w:rPr>
        <w:t>分至</w:t>
      </w:r>
      <w:r>
        <w:rPr>
          <w:rFonts w:hint="eastAsia" w:ascii="宋体" w:hAnsi="宋体"/>
          <w:color w:val="auto"/>
          <w:szCs w:val="21"/>
          <w:highlight w:val="none"/>
          <w:lang w:val="en-US" w:eastAsia="zh-CN"/>
        </w:rPr>
        <w:t>6</w:t>
      </w:r>
      <w:r>
        <w:rPr>
          <w:rFonts w:hint="eastAsia" w:ascii="宋体" w:hAnsi="宋体"/>
          <w:color w:val="auto"/>
          <w:szCs w:val="21"/>
          <w:highlight w:val="none"/>
        </w:rPr>
        <w:t>分）；</w:t>
      </w:r>
    </w:p>
    <w:p>
      <w:pPr>
        <w:widowControl/>
        <w:shd w:val="clear" w:color="auto" w:fill="FFFFFF"/>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（5）施工机械配备（</w:t>
      </w:r>
      <w:r>
        <w:rPr>
          <w:rFonts w:hint="eastAsia" w:ascii="宋体" w:hAnsi="宋体"/>
          <w:color w:val="auto"/>
          <w:szCs w:val="21"/>
          <w:highlight w:val="none"/>
          <w:lang w:val="en-US" w:eastAsia="zh-CN"/>
        </w:rPr>
        <w:t>2</w:t>
      </w:r>
      <w:r>
        <w:rPr>
          <w:rFonts w:hint="eastAsia" w:ascii="宋体" w:hAnsi="宋体"/>
          <w:color w:val="auto"/>
          <w:szCs w:val="21"/>
          <w:highlight w:val="none"/>
        </w:rPr>
        <w:t>分至</w:t>
      </w:r>
      <w:r>
        <w:rPr>
          <w:rFonts w:hint="eastAsia" w:ascii="宋体" w:hAnsi="宋体"/>
          <w:color w:val="auto"/>
          <w:szCs w:val="21"/>
          <w:highlight w:val="none"/>
          <w:lang w:val="en-US" w:eastAsia="zh-CN"/>
        </w:rPr>
        <w:t>6</w:t>
      </w:r>
      <w:r>
        <w:rPr>
          <w:rFonts w:hint="eastAsia" w:ascii="宋体" w:hAnsi="宋体"/>
          <w:color w:val="auto"/>
          <w:szCs w:val="21"/>
          <w:highlight w:val="none"/>
        </w:rPr>
        <w:t>分）；</w:t>
      </w:r>
    </w:p>
    <w:p>
      <w:pPr>
        <w:widowControl/>
        <w:shd w:val="clear" w:color="auto" w:fill="FFFFFF"/>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（6）保证施工场地周边市民正常出行的措施（防干扰、出入安全等）（2分至</w:t>
      </w:r>
      <w:r>
        <w:rPr>
          <w:rFonts w:hint="eastAsia" w:ascii="宋体" w:hAnsi="宋体"/>
          <w:color w:val="auto"/>
          <w:szCs w:val="21"/>
          <w:highlight w:val="none"/>
          <w:lang w:val="en-US" w:eastAsia="zh-CN"/>
        </w:rPr>
        <w:t>5</w:t>
      </w:r>
      <w:r>
        <w:rPr>
          <w:rFonts w:hint="eastAsia" w:ascii="宋体" w:hAnsi="宋体"/>
          <w:color w:val="auto"/>
          <w:szCs w:val="21"/>
          <w:highlight w:val="none"/>
        </w:rPr>
        <w:t>分）；</w:t>
      </w:r>
    </w:p>
    <w:p>
      <w:pPr>
        <w:widowControl/>
        <w:shd w:val="clear" w:color="auto" w:fill="FFFFFF"/>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（7）近</w:t>
      </w:r>
      <w:r>
        <w:rPr>
          <w:rFonts w:hint="eastAsia" w:ascii="宋体" w:hAnsi="宋体"/>
          <w:color w:val="auto"/>
          <w:szCs w:val="21"/>
          <w:highlight w:val="none"/>
          <w:u w:val="single"/>
          <w:lang w:val="en-US" w:eastAsia="zh-CN"/>
        </w:rPr>
        <w:t>三</w:t>
      </w:r>
      <w:r>
        <w:rPr>
          <w:rFonts w:hint="eastAsia" w:ascii="宋体" w:hAnsi="宋体"/>
          <w:color w:val="auto"/>
          <w:szCs w:val="21"/>
          <w:highlight w:val="none"/>
        </w:rPr>
        <w:t>年类似业绩情况，每提供1份有效业绩证明材料得1分，满分4分（提供自身签订类似项目合同，有效证明材料以合同签订日期为准，</w:t>
      </w:r>
      <w:r>
        <w:rPr>
          <w:rFonts w:ascii="宋体" w:hAnsi="宋体"/>
          <w:color w:val="auto"/>
          <w:szCs w:val="21"/>
          <w:highlight w:val="none"/>
        </w:rPr>
        <w:t>须提供</w:t>
      </w:r>
      <w:r>
        <w:rPr>
          <w:rFonts w:hint="eastAsia" w:ascii="宋体" w:hAnsi="宋体"/>
          <w:color w:val="auto"/>
          <w:szCs w:val="21"/>
          <w:highlight w:val="none"/>
        </w:rPr>
        <w:t>显示项目名称或项目内容的合同页</w:t>
      </w:r>
      <w:r>
        <w:rPr>
          <w:rFonts w:ascii="宋体" w:hAnsi="宋体"/>
          <w:color w:val="auto"/>
          <w:szCs w:val="21"/>
          <w:highlight w:val="none"/>
        </w:rPr>
        <w:t>和签字盖章页</w:t>
      </w:r>
      <w:r>
        <w:rPr>
          <w:rFonts w:hint="eastAsia" w:ascii="宋体" w:hAnsi="宋体"/>
          <w:color w:val="auto"/>
          <w:szCs w:val="21"/>
          <w:highlight w:val="none"/>
        </w:rPr>
        <w:t>复印</w:t>
      </w:r>
      <w:r>
        <w:rPr>
          <w:rFonts w:ascii="宋体" w:hAnsi="宋体"/>
          <w:color w:val="auto"/>
          <w:szCs w:val="21"/>
          <w:highlight w:val="none"/>
        </w:rPr>
        <w:t>件</w:t>
      </w:r>
      <w:r>
        <w:rPr>
          <w:rFonts w:hint="eastAsia" w:ascii="宋体" w:hAnsi="宋体"/>
          <w:color w:val="auto"/>
          <w:szCs w:val="21"/>
          <w:highlight w:val="none"/>
        </w:rPr>
        <w:t>）（0分至4分）</w:t>
      </w:r>
    </w:p>
    <w:p>
      <w:pPr>
        <w:spacing w:line="360" w:lineRule="auto"/>
        <w:rPr>
          <w:rFonts w:ascii="宋体" w:hAnsi="宋体"/>
          <w:color w:val="auto"/>
          <w:sz w:val="32"/>
          <w:szCs w:val="32"/>
          <w:highlight w:val="none"/>
        </w:rPr>
      </w:pPr>
    </w:p>
    <w:p>
      <w:pPr>
        <w:widowControl/>
        <w:shd w:val="clear" w:color="auto" w:fill="FFFFFF"/>
        <w:snapToGrid w:val="0"/>
        <w:spacing w:line="360" w:lineRule="auto"/>
        <w:ind w:firstLine="420" w:firstLineChars="200"/>
        <w:rPr>
          <w:rFonts w:asciiTheme="minorEastAsia" w:hAnsiTheme="minorEastAsia" w:eastAsiaTheme="minorEastAsia"/>
          <w:color w:val="auto"/>
          <w:szCs w:val="21"/>
          <w:highlight w:val="none"/>
        </w:rPr>
      </w:pPr>
    </w:p>
    <w:bookmarkEnd w:id="75"/>
    <w:p>
      <w:pPr>
        <w:widowControl/>
        <w:jc w:val="left"/>
        <w:rPr>
          <w:rFonts w:asciiTheme="minorEastAsia" w:hAnsiTheme="minorEastAsia" w:eastAsiaTheme="minorEastAsia"/>
          <w:color w:val="auto"/>
          <w:sz w:val="32"/>
          <w:szCs w:val="32"/>
          <w:highlight w:val="none"/>
        </w:rPr>
      </w:pPr>
    </w:p>
    <w:p>
      <w:pPr>
        <w:jc w:val="center"/>
        <w:rPr>
          <w:rFonts w:asciiTheme="minorEastAsia" w:hAnsiTheme="minorEastAsia" w:eastAsiaTheme="minorEastAsia"/>
          <w:color w:val="auto"/>
          <w:sz w:val="32"/>
          <w:szCs w:val="32"/>
          <w:highlight w:val="none"/>
        </w:rPr>
      </w:pPr>
    </w:p>
    <w:p>
      <w:pPr>
        <w:jc w:val="center"/>
        <w:rPr>
          <w:rFonts w:asciiTheme="minorEastAsia" w:hAnsiTheme="minorEastAsia" w:eastAsiaTheme="minorEastAsia"/>
          <w:color w:val="auto"/>
          <w:sz w:val="32"/>
          <w:szCs w:val="32"/>
          <w:highlight w:val="none"/>
        </w:rPr>
      </w:pPr>
    </w:p>
    <w:p>
      <w:pPr>
        <w:jc w:val="center"/>
        <w:rPr>
          <w:rFonts w:asciiTheme="minorEastAsia" w:hAnsiTheme="minorEastAsia" w:eastAsiaTheme="minorEastAsia"/>
          <w:color w:val="auto"/>
          <w:sz w:val="32"/>
          <w:szCs w:val="32"/>
          <w:highlight w:val="none"/>
        </w:rPr>
      </w:pPr>
    </w:p>
    <w:p>
      <w:pPr>
        <w:jc w:val="center"/>
        <w:rPr>
          <w:rFonts w:asciiTheme="minorEastAsia" w:hAnsiTheme="minorEastAsia" w:eastAsiaTheme="minorEastAsia"/>
          <w:color w:val="auto"/>
          <w:sz w:val="32"/>
          <w:szCs w:val="32"/>
          <w:highlight w:val="none"/>
        </w:rPr>
      </w:pPr>
    </w:p>
    <w:p>
      <w:pPr>
        <w:jc w:val="center"/>
        <w:rPr>
          <w:rFonts w:asciiTheme="minorEastAsia" w:hAnsiTheme="minorEastAsia" w:eastAsiaTheme="minorEastAsia"/>
          <w:color w:val="auto"/>
          <w:sz w:val="32"/>
          <w:szCs w:val="32"/>
          <w:highlight w:val="none"/>
        </w:rPr>
      </w:pPr>
    </w:p>
    <w:p>
      <w:pPr>
        <w:spacing w:line="360" w:lineRule="auto"/>
        <w:jc w:val="center"/>
        <w:outlineLvl w:val="0"/>
        <w:rPr>
          <w:rFonts w:ascii="宋体" w:hAnsi="宋体"/>
          <w:b/>
          <w:color w:val="auto"/>
          <w:sz w:val="52"/>
          <w:szCs w:val="52"/>
          <w:highlight w:val="none"/>
        </w:rPr>
      </w:pPr>
      <w:bookmarkStart w:id="80" w:name="_Toc364679557"/>
      <w:bookmarkStart w:id="81" w:name="_Toc17882831"/>
      <w:bookmarkStart w:id="82" w:name="_Toc449306053"/>
      <w:r>
        <w:rPr>
          <w:rFonts w:hint="eastAsia" w:ascii="宋体" w:hAnsi="宋体"/>
          <w:b/>
          <w:color w:val="auto"/>
          <w:sz w:val="52"/>
          <w:szCs w:val="52"/>
          <w:highlight w:val="none"/>
        </w:rPr>
        <w:t>第四章 合同条款及格式</w:t>
      </w:r>
      <w:bookmarkEnd w:id="80"/>
      <w:bookmarkEnd w:id="81"/>
      <w:bookmarkEnd w:id="82"/>
    </w:p>
    <w:p>
      <w:pPr>
        <w:pStyle w:val="3"/>
        <w:keepNext w:val="0"/>
        <w:keepLines w:val="0"/>
        <w:spacing w:line="360" w:lineRule="auto"/>
        <w:jc w:val="center"/>
        <w:rPr>
          <w:rFonts w:ascii="宋体" w:hAnsi="宋体" w:eastAsia="宋体"/>
          <w:color w:val="auto"/>
          <w:sz w:val="21"/>
          <w:szCs w:val="21"/>
          <w:highlight w:val="none"/>
        </w:rPr>
      </w:pPr>
      <w:r>
        <w:rPr>
          <w:rFonts w:asciiTheme="minorEastAsia" w:hAnsiTheme="minorEastAsia" w:eastAsiaTheme="minorEastAsia"/>
          <w:color w:val="auto"/>
          <w:highlight w:val="none"/>
        </w:rPr>
        <w:br w:type="page"/>
      </w:r>
      <w:bookmarkStart w:id="83" w:name="_Toc17595"/>
      <w:bookmarkStart w:id="84" w:name="_Toc23705"/>
      <w:bookmarkStart w:id="85" w:name="_Toc492908058"/>
      <w:bookmarkStart w:id="86" w:name="_Toc450228612"/>
      <w:bookmarkStart w:id="87" w:name="_Toc364679558"/>
      <w:bookmarkStart w:id="88" w:name="_Toc364679597"/>
      <w:bookmarkStart w:id="89" w:name="_Toc449306067"/>
      <w:r>
        <w:rPr>
          <w:rFonts w:ascii="宋体" w:hAnsi="宋体" w:eastAsia="宋体"/>
          <w:color w:val="auto"/>
          <w:sz w:val="21"/>
          <w:szCs w:val="21"/>
          <w:highlight w:val="none"/>
        </w:rPr>
        <w:t>第一</w:t>
      </w:r>
      <w:r>
        <w:rPr>
          <w:rFonts w:hint="eastAsia" w:ascii="宋体" w:hAnsi="宋体" w:eastAsia="宋体"/>
          <w:color w:val="auto"/>
          <w:sz w:val="21"/>
          <w:szCs w:val="21"/>
          <w:highlight w:val="none"/>
        </w:rPr>
        <w:t>节</w:t>
      </w:r>
      <w:r>
        <w:rPr>
          <w:rFonts w:ascii="宋体" w:hAnsi="宋体" w:eastAsia="宋体"/>
          <w:color w:val="auto"/>
          <w:sz w:val="21"/>
          <w:szCs w:val="21"/>
          <w:highlight w:val="none"/>
        </w:rPr>
        <w:t xml:space="preserve"> 合同协议书</w:t>
      </w:r>
      <w:bookmarkEnd w:id="83"/>
      <w:bookmarkEnd w:id="84"/>
    </w:p>
    <w:p>
      <w:pPr>
        <w:spacing w:line="360" w:lineRule="auto"/>
        <w:ind w:firstLine="630" w:firstLineChars="300"/>
        <w:rPr>
          <w:rFonts w:ascii="宋体" w:hAnsi="宋体"/>
          <w:color w:val="auto"/>
          <w:szCs w:val="21"/>
          <w:highlight w:val="none"/>
          <w:u w:val="single"/>
        </w:rPr>
      </w:pP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ascii="宋体" w:hAnsi="宋体"/>
          <w:color w:val="auto"/>
          <w:szCs w:val="21"/>
          <w:highlight w:val="none"/>
        </w:rPr>
        <w:t>发包人名称，以下简称“发包人”）为实施</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（项目名称），已接受</w:t>
      </w:r>
      <w:r>
        <w:rPr>
          <w:rFonts w:hint="eastAsia" w:ascii="宋体" w:hAnsi="宋体"/>
          <w:color w:val="auto"/>
          <w:szCs w:val="21"/>
          <w:highlight w:val="none"/>
          <w:u w:val="single"/>
        </w:rPr>
        <w:t xml:space="preserve">                      </w:t>
      </w:r>
      <w:r>
        <w:rPr>
          <w:rFonts w:ascii="宋体" w:hAnsi="宋体"/>
          <w:color w:val="auto"/>
          <w:szCs w:val="21"/>
          <w:highlight w:val="none"/>
        </w:rPr>
        <w:t>（承包人名称，以下简称“承包人”）对该项目</w:t>
      </w:r>
      <w:r>
        <w:rPr>
          <w:rFonts w:hint="eastAsia" w:ascii="宋体" w:hAnsi="宋体"/>
          <w:color w:val="auto"/>
          <w:szCs w:val="21"/>
          <w:highlight w:val="none"/>
        </w:rPr>
        <w:t>的</w:t>
      </w:r>
      <w:r>
        <w:rPr>
          <w:rFonts w:ascii="宋体" w:hAnsi="宋体"/>
          <w:color w:val="auto"/>
          <w:szCs w:val="21"/>
          <w:highlight w:val="none"/>
        </w:rPr>
        <w:t>投标。发包人和承包人共同达成如下协议。</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 本协议书与下列文件一起构成合同文件：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中标通知书；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）投标函及投标函附录</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专用合同条款；</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通用合同条款；</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w:t>
      </w:r>
      <w:r>
        <w:rPr>
          <w:rFonts w:ascii="宋体" w:hAnsi="宋体"/>
          <w:color w:val="auto"/>
          <w:szCs w:val="21"/>
          <w:highlight w:val="none"/>
        </w:rPr>
        <w:t>技术标准和要求；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6）图纸；</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（7）已标价工程量清单；</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（8）其他合同文件。</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 上述文件互相补充和解释，如有不明确或不一致之处，以合同约定次序在先者为准。</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 签约合同价：人民币（大写）</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s="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合同形式：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计划开工日期：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计划竣工日期：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以实际开竣工日期为准。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工期：</w:t>
      </w:r>
      <w:r>
        <w:rPr>
          <w:rFonts w:hint="eastAsia" w:ascii="宋体" w:hAnsi="宋体"/>
          <w:color w:val="auto"/>
          <w:szCs w:val="21"/>
          <w:highlight w:val="none"/>
          <w:u w:val="single"/>
        </w:rPr>
        <w:t xml:space="preserve">                  </w:t>
      </w:r>
      <w:r>
        <w:rPr>
          <w:rFonts w:hint="eastAsia" w:ascii="宋体" w:hAnsi="宋体"/>
          <w:color w:val="auto"/>
          <w:szCs w:val="21"/>
          <w:highlight w:val="none"/>
        </w:rPr>
        <w:t>日历天。工</w:t>
      </w:r>
      <w:r>
        <w:rPr>
          <w:rFonts w:ascii="宋体" w:hAnsi="宋体"/>
          <w:color w:val="auto"/>
          <w:szCs w:val="21"/>
          <w:highlight w:val="none"/>
        </w:rPr>
        <w:t>期总日历天数与根据前述计划开竣工日期计算的工期天数不一致的，以工期总日历天数为准。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 xml:space="preserve">. </w:t>
      </w:r>
      <w:r>
        <w:rPr>
          <w:rFonts w:hint="eastAsia" w:ascii="宋体" w:hAnsi="宋体"/>
          <w:color w:val="auto"/>
          <w:szCs w:val="21"/>
          <w:highlight w:val="none"/>
        </w:rPr>
        <w:t>承包人</w:t>
      </w:r>
      <w:r>
        <w:rPr>
          <w:rFonts w:ascii="宋体" w:hAnsi="宋体"/>
          <w:color w:val="auto"/>
          <w:szCs w:val="21"/>
          <w:highlight w:val="none"/>
        </w:rPr>
        <w:t>项目经理：</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 工程质量符合</w:t>
      </w:r>
      <w:r>
        <w:rPr>
          <w:rFonts w:hint="eastAsia" w:ascii="宋体" w:hAnsi="宋体"/>
          <w:color w:val="auto"/>
          <w:szCs w:val="21"/>
          <w:highlight w:val="none"/>
          <w:u w:val="single"/>
        </w:rPr>
        <w:t xml:space="preserve">                    </w:t>
      </w:r>
      <w:r>
        <w:rPr>
          <w:rFonts w:ascii="宋体" w:hAnsi="宋体"/>
          <w:color w:val="auto"/>
          <w:szCs w:val="21"/>
          <w:highlight w:val="none"/>
        </w:rPr>
        <w:t>标准。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 承包人承诺按合同约定承担工程的</w:t>
      </w:r>
      <w:r>
        <w:rPr>
          <w:rFonts w:hint="eastAsia" w:ascii="宋体" w:hAnsi="宋体"/>
          <w:color w:val="auto"/>
          <w:szCs w:val="21"/>
          <w:highlight w:val="none"/>
        </w:rPr>
        <w:t>施工</w:t>
      </w:r>
      <w:r>
        <w:rPr>
          <w:rFonts w:ascii="宋体" w:hAnsi="宋体"/>
          <w:color w:val="auto"/>
          <w:szCs w:val="21"/>
          <w:highlight w:val="none"/>
        </w:rPr>
        <w:t>、</w:t>
      </w:r>
      <w:r>
        <w:rPr>
          <w:rFonts w:hint="eastAsia" w:ascii="宋体" w:hAnsi="宋体"/>
          <w:color w:val="auto"/>
          <w:szCs w:val="21"/>
          <w:highlight w:val="none"/>
        </w:rPr>
        <w:t>竣工交付</w:t>
      </w:r>
      <w:r>
        <w:rPr>
          <w:rFonts w:ascii="宋体" w:hAnsi="宋体"/>
          <w:color w:val="auto"/>
          <w:szCs w:val="21"/>
          <w:highlight w:val="none"/>
        </w:rPr>
        <w:t>及缺陷修复。</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w:t>
      </w:r>
      <w:r>
        <w:rPr>
          <w:rFonts w:ascii="宋体" w:hAnsi="宋体"/>
          <w:color w:val="auto"/>
          <w:szCs w:val="21"/>
          <w:highlight w:val="none"/>
        </w:rPr>
        <w:t>. 发包人承诺按合同约定的条件、时间和方式向承包人支付合同价款。</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w:t>
      </w:r>
      <w:r>
        <w:rPr>
          <w:rFonts w:ascii="宋体" w:hAnsi="宋体"/>
          <w:color w:val="auto"/>
          <w:szCs w:val="21"/>
          <w:highlight w:val="none"/>
        </w:rPr>
        <w:t>.本协议书一式</w:t>
      </w:r>
      <w:r>
        <w:rPr>
          <w:rFonts w:ascii="宋体" w:hAnsi="宋体"/>
          <w:color w:val="auto"/>
          <w:szCs w:val="21"/>
          <w:highlight w:val="none"/>
          <w:u w:val="single"/>
        </w:rPr>
        <w:t xml:space="preserve">     </w:t>
      </w:r>
      <w:r>
        <w:rPr>
          <w:rFonts w:ascii="宋体" w:hAnsi="宋体"/>
          <w:color w:val="auto"/>
          <w:szCs w:val="21"/>
          <w:highlight w:val="none"/>
        </w:rPr>
        <w:t>份，合同双方各执</w:t>
      </w:r>
      <w:r>
        <w:rPr>
          <w:rFonts w:hint="eastAsia" w:ascii="宋体" w:hAnsi="宋体"/>
          <w:color w:val="auto"/>
          <w:szCs w:val="21"/>
          <w:highlight w:val="none"/>
          <w:u w:val="single"/>
        </w:rPr>
        <w:t xml:space="preserve">    </w:t>
      </w:r>
      <w:r>
        <w:rPr>
          <w:rFonts w:ascii="宋体" w:hAnsi="宋体"/>
          <w:color w:val="auto"/>
          <w:szCs w:val="21"/>
          <w:highlight w:val="none"/>
        </w:rPr>
        <w:t>份</w:t>
      </w:r>
      <w:r>
        <w:rPr>
          <w:rFonts w:hint="eastAsia" w:ascii="宋体" w:hAnsi="宋体"/>
          <w:color w:val="auto"/>
          <w:szCs w:val="21"/>
          <w:highlight w:val="none"/>
        </w:rPr>
        <w:t>，一份送同级政府采购监管部门备案</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1</w:t>
      </w:r>
      <w:r>
        <w:rPr>
          <w:rFonts w:ascii="宋体" w:hAnsi="宋体"/>
          <w:color w:val="auto"/>
          <w:szCs w:val="21"/>
          <w:highlight w:val="none"/>
        </w:rPr>
        <w:t>. 合同未尽事宜，双方另行签订补充协议。补充协议是合同的组成部分。</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ascii="宋体" w:hAnsi="宋体"/>
          <w:color w:val="auto"/>
          <w:szCs w:val="21"/>
          <w:highlight w:val="none"/>
        </w:rPr>
        <w:t>发包人：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单位公章</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承包人：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单位公章</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法定代表人或其</w:t>
      </w:r>
      <w:r>
        <w:rPr>
          <w:rFonts w:hint="eastAsia" w:ascii="宋体" w:hAnsi="宋体"/>
          <w:color w:val="auto"/>
          <w:szCs w:val="21"/>
          <w:highlight w:val="none"/>
        </w:rPr>
        <w:t xml:space="preserve">                           </w:t>
      </w:r>
      <w:r>
        <w:rPr>
          <w:rFonts w:ascii="宋体" w:hAnsi="宋体"/>
          <w:color w:val="auto"/>
          <w:szCs w:val="21"/>
          <w:highlight w:val="none"/>
        </w:rPr>
        <w:t>法定代表人或其</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委托代理人（</w:t>
      </w:r>
      <w:r>
        <w:rPr>
          <w:rFonts w:hint="eastAsia" w:ascii="宋体" w:hAnsi="宋体"/>
          <w:color w:val="auto"/>
          <w:szCs w:val="21"/>
          <w:highlight w:val="none"/>
        </w:rPr>
        <w:t>签字或盖章</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委托代理人（</w:t>
      </w:r>
      <w:r>
        <w:rPr>
          <w:rFonts w:hint="eastAsia" w:ascii="宋体" w:hAnsi="宋体"/>
          <w:color w:val="auto"/>
          <w:szCs w:val="21"/>
          <w:highlight w:val="none"/>
        </w:rPr>
        <w:t>签字或盖章</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r>
        <w:rPr>
          <w:rFonts w:hint="eastAsia"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pPr>
        <w:snapToGrid w:val="0"/>
        <w:spacing w:line="360" w:lineRule="auto"/>
        <w:ind w:firstLine="480"/>
        <w:rPr>
          <w:rFonts w:ascii="宋体" w:hAnsi="宋体"/>
          <w:color w:val="auto"/>
          <w:szCs w:val="21"/>
          <w:highlight w:val="none"/>
        </w:rPr>
      </w:pPr>
    </w:p>
    <w:p>
      <w:pPr>
        <w:snapToGrid w:val="0"/>
        <w:spacing w:line="360" w:lineRule="auto"/>
        <w:ind w:firstLine="480"/>
        <w:rPr>
          <w:rFonts w:ascii="宋体" w:hAnsi="宋体"/>
          <w:color w:val="auto"/>
          <w:szCs w:val="21"/>
          <w:highlight w:val="none"/>
        </w:rPr>
      </w:pPr>
    </w:p>
    <w:p>
      <w:pPr>
        <w:snapToGrid w:val="0"/>
        <w:spacing w:line="360" w:lineRule="auto"/>
        <w:ind w:firstLine="480"/>
        <w:rPr>
          <w:rFonts w:ascii="宋体" w:hAnsi="宋体"/>
          <w:color w:val="auto"/>
          <w:szCs w:val="21"/>
          <w:highlight w:val="none"/>
        </w:rPr>
      </w:pPr>
    </w:p>
    <w:p>
      <w:pPr>
        <w:snapToGrid w:val="0"/>
        <w:spacing w:line="360" w:lineRule="auto"/>
        <w:ind w:firstLine="480"/>
        <w:rPr>
          <w:rFonts w:ascii="宋体" w:hAnsi="宋体"/>
          <w:color w:val="auto"/>
          <w:szCs w:val="21"/>
          <w:highlight w:val="none"/>
        </w:rPr>
      </w:pPr>
    </w:p>
    <w:p>
      <w:pPr>
        <w:snapToGrid w:val="0"/>
        <w:spacing w:line="360" w:lineRule="auto"/>
        <w:ind w:firstLine="480"/>
        <w:rPr>
          <w:rFonts w:ascii="宋体" w:hAnsi="宋体"/>
          <w:color w:val="auto"/>
          <w:szCs w:val="21"/>
          <w:highlight w:val="none"/>
        </w:rPr>
      </w:pPr>
    </w:p>
    <w:p>
      <w:pPr>
        <w:snapToGrid w:val="0"/>
        <w:spacing w:line="360" w:lineRule="auto"/>
        <w:ind w:firstLine="480"/>
        <w:rPr>
          <w:rFonts w:ascii="宋体" w:hAnsi="宋体"/>
          <w:color w:val="auto"/>
          <w:szCs w:val="21"/>
          <w:highlight w:val="none"/>
        </w:rPr>
      </w:pPr>
    </w:p>
    <w:p>
      <w:pPr>
        <w:snapToGrid w:val="0"/>
        <w:spacing w:line="360" w:lineRule="auto"/>
        <w:ind w:firstLine="480"/>
        <w:rPr>
          <w:rFonts w:ascii="宋体" w:hAnsi="宋体"/>
          <w:color w:val="auto"/>
          <w:szCs w:val="21"/>
          <w:highlight w:val="none"/>
        </w:rPr>
      </w:pPr>
    </w:p>
    <w:p>
      <w:pPr>
        <w:snapToGrid w:val="0"/>
        <w:spacing w:line="360" w:lineRule="auto"/>
        <w:ind w:firstLine="480"/>
        <w:rPr>
          <w:rFonts w:ascii="宋体" w:hAnsi="宋体"/>
          <w:color w:val="auto"/>
          <w:szCs w:val="21"/>
          <w:highlight w:val="none"/>
        </w:rPr>
      </w:pPr>
    </w:p>
    <w:p>
      <w:pPr>
        <w:snapToGrid w:val="0"/>
        <w:spacing w:line="360" w:lineRule="auto"/>
        <w:ind w:firstLine="480"/>
        <w:rPr>
          <w:rFonts w:ascii="宋体" w:hAnsi="宋体"/>
          <w:color w:val="auto"/>
          <w:szCs w:val="21"/>
          <w:highlight w:val="none"/>
        </w:rPr>
      </w:pPr>
    </w:p>
    <w:p>
      <w:pPr>
        <w:snapToGrid w:val="0"/>
        <w:spacing w:line="360" w:lineRule="auto"/>
        <w:ind w:firstLine="480"/>
        <w:rPr>
          <w:rFonts w:ascii="宋体" w:hAnsi="宋体"/>
          <w:color w:val="auto"/>
          <w:szCs w:val="21"/>
          <w:highlight w:val="none"/>
        </w:rPr>
      </w:pPr>
    </w:p>
    <w:p>
      <w:pPr>
        <w:snapToGrid w:val="0"/>
        <w:spacing w:line="360" w:lineRule="auto"/>
        <w:ind w:firstLine="480"/>
        <w:rPr>
          <w:rFonts w:ascii="宋体" w:hAnsi="宋体"/>
          <w:color w:val="auto"/>
          <w:szCs w:val="21"/>
          <w:highlight w:val="none"/>
        </w:rPr>
      </w:pPr>
    </w:p>
    <w:p>
      <w:pPr>
        <w:snapToGrid w:val="0"/>
        <w:spacing w:line="360" w:lineRule="auto"/>
        <w:ind w:firstLine="480"/>
        <w:rPr>
          <w:rFonts w:ascii="宋体" w:hAnsi="宋体"/>
          <w:color w:val="auto"/>
          <w:szCs w:val="21"/>
          <w:highlight w:val="none"/>
        </w:rPr>
      </w:pPr>
    </w:p>
    <w:p>
      <w:pPr>
        <w:snapToGrid w:val="0"/>
        <w:spacing w:line="360" w:lineRule="auto"/>
        <w:ind w:firstLine="480"/>
        <w:rPr>
          <w:rFonts w:ascii="宋体" w:hAnsi="宋体"/>
          <w:color w:val="auto"/>
          <w:szCs w:val="21"/>
          <w:highlight w:val="none"/>
        </w:rPr>
      </w:pPr>
    </w:p>
    <w:p>
      <w:pPr>
        <w:snapToGrid w:val="0"/>
        <w:spacing w:line="360" w:lineRule="auto"/>
        <w:ind w:firstLine="480"/>
        <w:rPr>
          <w:rFonts w:ascii="宋体" w:hAnsi="宋体"/>
          <w:color w:val="auto"/>
          <w:szCs w:val="21"/>
          <w:highlight w:val="none"/>
        </w:rPr>
      </w:pPr>
    </w:p>
    <w:p>
      <w:pPr>
        <w:snapToGrid w:val="0"/>
        <w:spacing w:line="360" w:lineRule="auto"/>
        <w:ind w:firstLine="480"/>
        <w:rPr>
          <w:rFonts w:ascii="宋体" w:hAnsi="宋体"/>
          <w:color w:val="auto"/>
          <w:szCs w:val="21"/>
          <w:highlight w:val="none"/>
        </w:rPr>
      </w:pPr>
    </w:p>
    <w:p>
      <w:pPr>
        <w:snapToGrid w:val="0"/>
        <w:spacing w:line="360" w:lineRule="auto"/>
        <w:ind w:firstLine="480"/>
        <w:rPr>
          <w:rFonts w:ascii="宋体" w:hAnsi="宋体"/>
          <w:color w:val="auto"/>
          <w:szCs w:val="21"/>
          <w:highlight w:val="none"/>
        </w:rPr>
      </w:pPr>
    </w:p>
    <w:p>
      <w:pPr>
        <w:snapToGrid w:val="0"/>
        <w:spacing w:line="360" w:lineRule="auto"/>
        <w:ind w:firstLine="480"/>
        <w:rPr>
          <w:rFonts w:ascii="宋体" w:hAnsi="宋体"/>
          <w:color w:val="auto"/>
          <w:szCs w:val="21"/>
          <w:highlight w:val="none"/>
        </w:rPr>
      </w:pPr>
    </w:p>
    <w:p>
      <w:pPr>
        <w:snapToGrid w:val="0"/>
        <w:spacing w:line="360" w:lineRule="auto"/>
        <w:ind w:firstLine="480"/>
        <w:rPr>
          <w:rFonts w:ascii="宋体" w:hAnsi="宋体"/>
          <w:color w:val="auto"/>
          <w:szCs w:val="21"/>
          <w:highlight w:val="none"/>
        </w:rPr>
      </w:pPr>
    </w:p>
    <w:p>
      <w:pPr>
        <w:snapToGrid w:val="0"/>
        <w:spacing w:line="360" w:lineRule="auto"/>
        <w:ind w:firstLine="480"/>
        <w:rPr>
          <w:rFonts w:ascii="宋体" w:hAnsi="宋体"/>
          <w:color w:val="auto"/>
          <w:szCs w:val="21"/>
          <w:highlight w:val="none"/>
        </w:rPr>
      </w:pPr>
    </w:p>
    <w:p>
      <w:pPr>
        <w:snapToGrid w:val="0"/>
        <w:spacing w:line="360" w:lineRule="auto"/>
        <w:ind w:firstLine="480"/>
        <w:rPr>
          <w:rFonts w:ascii="宋体" w:hAnsi="宋体"/>
          <w:color w:val="auto"/>
          <w:szCs w:val="21"/>
          <w:highlight w:val="none"/>
        </w:rPr>
      </w:pPr>
    </w:p>
    <w:p>
      <w:pPr>
        <w:snapToGrid w:val="0"/>
        <w:spacing w:line="360" w:lineRule="auto"/>
        <w:ind w:firstLine="480"/>
        <w:rPr>
          <w:rFonts w:ascii="宋体" w:hAnsi="宋体"/>
          <w:color w:val="auto"/>
          <w:szCs w:val="21"/>
          <w:highlight w:val="none"/>
        </w:rPr>
      </w:pPr>
    </w:p>
    <w:p>
      <w:pPr>
        <w:snapToGrid w:val="0"/>
        <w:spacing w:line="360" w:lineRule="auto"/>
        <w:ind w:firstLine="480"/>
        <w:rPr>
          <w:rFonts w:ascii="宋体" w:hAnsi="宋体"/>
          <w:color w:val="auto"/>
          <w:szCs w:val="21"/>
          <w:highlight w:val="none"/>
        </w:rPr>
      </w:pPr>
    </w:p>
    <w:p>
      <w:pPr>
        <w:snapToGrid w:val="0"/>
        <w:spacing w:line="360" w:lineRule="auto"/>
        <w:ind w:firstLine="480"/>
        <w:rPr>
          <w:rFonts w:ascii="宋体" w:hAnsi="宋体"/>
          <w:color w:val="auto"/>
          <w:szCs w:val="21"/>
          <w:highlight w:val="none"/>
        </w:rPr>
      </w:pPr>
    </w:p>
    <w:p>
      <w:pPr>
        <w:snapToGrid w:val="0"/>
        <w:spacing w:line="360" w:lineRule="auto"/>
        <w:ind w:firstLine="480"/>
        <w:rPr>
          <w:rFonts w:ascii="宋体" w:hAnsi="宋体"/>
          <w:color w:val="auto"/>
          <w:szCs w:val="21"/>
          <w:highlight w:val="none"/>
        </w:rPr>
      </w:pPr>
    </w:p>
    <w:p>
      <w:pPr>
        <w:snapToGrid w:val="0"/>
        <w:spacing w:line="360" w:lineRule="auto"/>
        <w:ind w:firstLine="480"/>
        <w:rPr>
          <w:rFonts w:ascii="宋体" w:hAnsi="宋体"/>
          <w:color w:val="auto"/>
          <w:szCs w:val="21"/>
          <w:highlight w:val="none"/>
        </w:rPr>
      </w:pPr>
    </w:p>
    <w:p>
      <w:pPr>
        <w:widowControl/>
        <w:jc w:val="left"/>
        <w:rPr>
          <w:rFonts w:ascii="宋体" w:hAnsi="宋体"/>
          <w:color w:val="auto"/>
          <w:szCs w:val="21"/>
          <w:highlight w:val="none"/>
        </w:rPr>
      </w:pPr>
      <w:r>
        <w:rPr>
          <w:rFonts w:ascii="宋体" w:hAnsi="宋体"/>
          <w:color w:val="auto"/>
          <w:szCs w:val="21"/>
          <w:highlight w:val="none"/>
        </w:rPr>
        <w:br w:type="page"/>
      </w:r>
    </w:p>
    <w:p>
      <w:pPr>
        <w:pStyle w:val="3"/>
        <w:keepNext w:val="0"/>
        <w:keepLines w:val="0"/>
        <w:spacing w:line="360" w:lineRule="auto"/>
        <w:jc w:val="center"/>
        <w:rPr>
          <w:rFonts w:ascii="宋体" w:hAnsi="宋体" w:eastAsia="宋体"/>
          <w:color w:val="auto"/>
          <w:sz w:val="21"/>
          <w:szCs w:val="21"/>
          <w:highlight w:val="none"/>
        </w:rPr>
      </w:pPr>
      <w:bookmarkStart w:id="90" w:name="_Toc364679572"/>
      <w:bookmarkStart w:id="91" w:name="_Toc17278"/>
      <w:bookmarkStart w:id="92" w:name="_Toc1136"/>
      <w:bookmarkStart w:id="93" w:name="_Toc7864"/>
      <w:bookmarkStart w:id="94" w:name="_Toc1439"/>
      <w:bookmarkStart w:id="95" w:name="_Toc6584"/>
      <w:bookmarkStart w:id="96" w:name="_Toc351203494"/>
      <w:bookmarkStart w:id="97" w:name="_Toc450228614"/>
      <w:bookmarkStart w:id="98" w:name="_Toc482874355"/>
      <w:bookmarkStart w:id="99" w:name="_Toc7960"/>
      <w:bookmarkStart w:id="100" w:name="_Toc16566"/>
      <w:r>
        <w:rPr>
          <w:rFonts w:ascii="宋体" w:hAnsi="宋体" w:eastAsia="宋体"/>
          <w:color w:val="auto"/>
          <w:sz w:val="21"/>
          <w:szCs w:val="21"/>
          <w:highlight w:val="none"/>
        </w:rPr>
        <w:t>第</w:t>
      </w:r>
      <w:r>
        <w:rPr>
          <w:rFonts w:hint="eastAsia" w:ascii="宋体" w:hAnsi="宋体" w:eastAsia="宋体"/>
          <w:color w:val="auto"/>
          <w:sz w:val="21"/>
          <w:szCs w:val="21"/>
          <w:highlight w:val="none"/>
        </w:rPr>
        <w:t>二节</w:t>
      </w:r>
      <w:r>
        <w:rPr>
          <w:rFonts w:ascii="宋体" w:hAnsi="宋体" w:eastAsia="宋体"/>
          <w:color w:val="auto"/>
          <w:sz w:val="21"/>
          <w:szCs w:val="21"/>
          <w:highlight w:val="none"/>
        </w:rPr>
        <w:t xml:space="preserve"> 通用合同条款</w:t>
      </w:r>
      <w:bookmarkEnd w:id="90"/>
      <w:bookmarkEnd w:id="91"/>
      <w:bookmarkEnd w:id="92"/>
      <w:bookmarkEnd w:id="93"/>
      <w:bookmarkEnd w:id="94"/>
      <w:bookmarkEnd w:id="95"/>
      <w:bookmarkEnd w:id="96"/>
      <w:bookmarkEnd w:id="97"/>
      <w:bookmarkEnd w:id="98"/>
      <w:bookmarkEnd w:id="99"/>
      <w:bookmarkEnd w:id="100"/>
      <w:bookmarkStart w:id="101" w:name="_Toc303538974"/>
      <w:bookmarkEnd w:id="101"/>
      <w:bookmarkStart w:id="102" w:name="_Toc303538972"/>
      <w:bookmarkEnd w:id="102"/>
      <w:bookmarkStart w:id="103" w:name="_Toc303538976"/>
      <w:bookmarkEnd w:id="103"/>
      <w:bookmarkStart w:id="104" w:name="_Toc303538975"/>
      <w:bookmarkEnd w:id="104"/>
      <w:bookmarkStart w:id="105" w:name="_Toc303538973"/>
      <w:bookmarkEnd w:id="105"/>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通用合同条款直接引用九部委局联合印发的《简明标准施工招标文件（2012版）》（发改法规[2011]3018号）第四章第一节“</w:t>
      </w:r>
      <w:r>
        <w:rPr>
          <w:rFonts w:ascii="宋体" w:hAnsi="宋体"/>
          <w:color w:val="auto"/>
          <w:szCs w:val="21"/>
          <w:highlight w:val="none"/>
        </w:rPr>
        <w:t>通用合同条款</w:t>
      </w:r>
      <w:r>
        <w:rPr>
          <w:rFonts w:hint="eastAsia" w:ascii="宋体" w:hAnsi="宋体"/>
          <w:color w:val="auto"/>
          <w:szCs w:val="21"/>
          <w:highlight w:val="none"/>
        </w:rPr>
        <w:t>”。</w:t>
      </w:r>
    </w:p>
    <w:p>
      <w:pPr>
        <w:snapToGrid w:val="0"/>
        <w:spacing w:line="360" w:lineRule="auto"/>
        <w:rPr>
          <w:rFonts w:ascii="宋体" w:hAnsi="宋体"/>
          <w:color w:val="auto"/>
          <w:szCs w:val="21"/>
          <w:highlight w:val="none"/>
        </w:rPr>
      </w:pPr>
    </w:p>
    <w:p>
      <w:pPr>
        <w:widowControl/>
        <w:jc w:val="left"/>
        <w:rPr>
          <w:rFonts w:ascii="宋体" w:hAnsi="宋体"/>
          <w:b/>
          <w:bCs/>
          <w:color w:val="auto"/>
          <w:szCs w:val="21"/>
          <w:highlight w:val="none"/>
        </w:rPr>
      </w:pPr>
      <w:bookmarkStart w:id="106" w:name="_Toc364679573"/>
      <w:bookmarkStart w:id="107" w:name="_Toc26917"/>
      <w:bookmarkStart w:id="108" w:name="_Toc9045"/>
      <w:bookmarkStart w:id="109" w:name="_Toc7201"/>
      <w:bookmarkStart w:id="110" w:name="_Toc482874354"/>
      <w:bookmarkStart w:id="111" w:name="_Toc19303"/>
      <w:bookmarkStart w:id="112" w:name="_Toc450228613"/>
      <w:bookmarkStart w:id="113" w:name="_Toc20811"/>
      <w:bookmarkStart w:id="114" w:name="_Toc4865"/>
      <w:bookmarkStart w:id="115" w:name="_Toc20736"/>
      <w:r>
        <w:rPr>
          <w:rFonts w:ascii="宋体" w:hAnsi="宋体"/>
          <w:color w:val="auto"/>
          <w:szCs w:val="21"/>
          <w:highlight w:val="none"/>
        </w:rPr>
        <w:br w:type="page"/>
      </w:r>
    </w:p>
    <w:p>
      <w:pPr>
        <w:pStyle w:val="3"/>
        <w:keepNext w:val="0"/>
        <w:keepLines w:val="0"/>
        <w:tabs>
          <w:tab w:val="left" w:pos="4536"/>
        </w:tabs>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第</w:t>
      </w:r>
      <w:r>
        <w:rPr>
          <w:rFonts w:hint="eastAsia" w:ascii="宋体" w:hAnsi="宋体" w:eastAsia="宋体"/>
          <w:color w:val="auto"/>
          <w:sz w:val="21"/>
          <w:szCs w:val="21"/>
          <w:highlight w:val="none"/>
        </w:rPr>
        <w:t>三节 专用合同条款</w:t>
      </w:r>
      <w:bookmarkEnd w:id="106"/>
      <w:bookmarkEnd w:id="107"/>
      <w:bookmarkEnd w:id="108"/>
      <w:bookmarkEnd w:id="109"/>
      <w:bookmarkEnd w:id="110"/>
      <w:bookmarkEnd w:id="111"/>
      <w:bookmarkEnd w:id="112"/>
      <w:bookmarkEnd w:id="113"/>
      <w:bookmarkEnd w:id="114"/>
      <w:bookmarkEnd w:id="115"/>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126"/>
        <w:gridCol w:w="5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条款号</w:t>
            </w:r>
          </w:p>
        </w:tc>
        <w:tc>
          <w:tcPr>
            <w:tcW w:w="212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条款名称</w:t>
            </w:r>
          </w:p>
        </w:tc>
        <w:tc>
          <w:tcPr>
            <w:tcW w:w="5809"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1.1.2.2</w:t>
            </w:r>
          </w:p>
        </w:tc>
        <w:tc>
          <w:tcPr>
            <w:tcW w:w="212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发包人</w:t>
            </w:r>
          </w:p>
        </w:tc>
        <w:tc>
          <w:tcPr>
            <w:tcW w:w="580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1.1.2.5</w:t>
            </w:r>
          </w:p>
        </w:tc>
        <w:tc>
          <w:tcPr>
            <w:tcW w:w="212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监理人</w:t>
            </w:r>
          </w:p>
        </w:tc>
        <w:tc>
          <w:tcPr>
            <w:tcW w:w="580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10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1.1.4.5</w:t>
            </w:r>
          </w:p>
        </w:tc>
        <w:tc>
          <w:tcPr>
            <w:tcW w:w="212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缺陷责任期</w:t>
            </w:r>
          </w:p>
        </w:tc>
        <w:tc>
          <w:tcPr>
            <w:tcW w:w="580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自工程实际竣工之日起算</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1.4</w:t>
            </w:r>
          </w:p>
        </w:tc>
        <w:tc>
          <w:tcPr>
            <w:tcW w:w="212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合同文件的优先顺序</w:t>
            </w:r>
          </w:p>
        </w:tc>
        <w:tc>
          <w:tcPr>
            <w:tcW w:w="580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（1）本合同协议书；</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（2）中标通知书；</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（3）投标函及投标函附录；</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（4）专用合同条款；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（5）通用合同条款；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（6）技术标准和要求；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（7）图纸；</w:t>
            </w:r>
          </w:p>
          <w:p>
            <w:pPr>
              <w:spacing w:line="360" w:lineRule="auto"/>
              <w:rPr>
                <w:rFonts w:ascii="宋体" w:hAnsi="宋体" w:cs="宋体"/>
                <w:color w:val="auto"/>
                <w:szCs w:val="21"/>
                <w:highlight w:val="none"/>
              </w:rPr>
            </w:pPr>
            <w:r>
              <w:rPr>
                <w:rFonts w:hint="eastAsia" w:ascii="宋体" w:hAnsi="宋体" w:cs="宋体"/>
                <w:color w:val="auto"/>
                <w:szCs w:val="21"/>
                <w:highlight w:val="none"/>
              </w:rPr>
              <w:t>（8）已标价工程量清单；</w:t>
            </w:r>
          </w:p>
          <w:p>
            <w:pPr>
              <w:spacing w:line="360" w:lineRule="auto"/>
              <w:rPr>
                <w:rFonts w:ascii="宋体" w:hAnsi="宋体" w:cs="宋体"/>
                <w:color w:val="auto"/>
                <w:szCs w:val="21"/>
                <w:highlight w:val="none"/>
              </w:rPr>
            </w:pPr>
            <w:r>
              <w:rPr>
                <w:rFonts w:hint="eastAsia" w:ascii="宋体" w:hAnsi="宋体" w:cs="宋体"/>
                <w:color w:val="auto"/>
                <w:szCs w:val="21"/>
                <w:highlight w:val="none"/>
              </w:rPr>
              <w:t>（9）其他合同文件。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1.6.1</w:t>
            </w:r>
          </w:p>
        </w:tc>
        <w:tc>
          <w:tcPr>
            <w:tcW w:w="212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发包人向承包人提供图纸的期限</w:t>
            </w:r>
          </w:p>
        </w:tc>
        <w:tc>
          <w:tcPr>
            <w:tcW w:w="580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工程正式开工前 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1.6.1</w:t>
            </w:r>
          </w:p>
        </w:tc>
        <w:tc>
          <w:tcPr>
            <w:tcW w:w="212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发包人向承包人提供图纸的数量</w:t>
            </w:r>
          </w:p>
        </w:tc>
        <w:tc>
          <w:tcPr>
            <w:tcW w:w="580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4套（含绘制竣工图所需的图纸）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1.6.1</w:t>
            </w:r>
          </w:p>
        </w:tc>
        <w:tc>
          <w:tcPr>
            <w:tcW w:w="212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发包人向承包人提供图纸的内容</w:t>
            </w:r>
          </w:p>
        </w:tc>
        <w:tc>
          <w:tcPr>
            <w:tcW w:w="580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全套施工图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1.6.2</w:t>
            </w:r>
          </w:p>
        </w:tc>
        <w:tc>
          <w:tcPr>
            <w:tcW w:w="212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需要由承包人提供的文件</w:t>
            </w:r>
          </w:p>
        </w:tc>
        <w:tc>
          <w:tcPr>
            <w:tcW w:w="580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详细施工组织设计、工程进度总计划及施工方案等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1.6.2</w:t>
            </w:r>
          </w:p>
        </w:tc>
        <w:tc>
          <w:tcPr>
            <w:tcW w:w="212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承包人提供的文件的期限为</w:t>
            </w:r>
          </w:p>
        </w:tc>
        <w:tc>
          <w:tcPr>
            <w:tcW w:w="580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工程开工后7天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1.6.2</w:t>
            </w:r>
          </w:p>
        </w:tc>
        <w:tc>
          <w:tcPr>
            <w:tcW w:w="212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承包人提供的文件的数量</w:t>
            </w:r>
          </w:p>
        </w:tc>
        <w:tc>
          <w:tcPr>
            <w:tcW w:w="580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1.6.2</w:t>
            </w:r>
          </w:p>
        </w:tc>
        <w:tc>
          <w:tcPr>
            <w:tcW w:w="212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承包人提供的文件的形式</w:t>
            </w:r>
          </w:p>
        </w:tc>
        <w:tc>
          <w:tcPr>
            <w:tcW w:w="580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书面及电子版文件（必要时）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1.6.2</w:t>
            </w:r>
          </w:p>
        </w:tc>
        <w:tc>
          <w:tcPr>
            <w:tcW w:w="212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监理人审批承包人文件的期限</w:t>
            </w:r>
          </w:p>
        </w:tc>
        <w:tc>
          <w:tcPr>
            <w:tcW w:w="580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收到后3天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10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2.3</w:t>
            </w:r>
          </w:p>
        </w:tc>
        <w:tc>
          <w:tcPr>
            <w:tcW w:w="212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发包人移交施工现场的期限要求</w:t>
            </w:r>
          </w:p>
        </w:tc>
        <w:tc>
          <w:tcPr>
            <w:tcW w:w="580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2.3</w:t>
            </w:r>
          </w:p>
        </w:tc>
        <w:tc>
          <w:tcPr>
            <w:tcW w:w="212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发包人应负责提供施工所需要的条件</w:t>
            </w:r>
          </w:p>
        </w:tc>
        <w:tc>
          <w:tcPr>
            <w:tcW w:w="580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施工用水、施工用电由发包方指定接点，并满足施工要求，接点至施工现场段管道/管线、计量设备由承包人自行解决，承包人每月底向水电提供人缴纳水电费（价格执行施工当地价格）。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3.1.1</w:t>
            </w:r>
          </w:p>
        </w:tc>
        <w:tc>
          <w:tcPr>
            <w:tcW w:w="212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监理人需经发包人事先批准才可以行使的权利</w:t>
            </w:r>
          </w:p>
        </w:tc>
        <w:tc>
          <w:tcPr>
            <w:tcW w:w="580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正式停工令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3.3.4</w:t>
            </w:r>
          </w:p>
        </w:tc>
        <w:tc>
          <w:tcPr>
            <w:tcW w:w="212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总监理工程师可否将其确定权授权或委托给其他监理人员</w:t>
            </w:r>
          </w:p>
        </w:tc>
        <w:tc>
          <w:tcPr>
            <w:tcW w:w="580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4.5.1</w:t>
            </w:r>
          </w:p>
        </w:tc>
        <w:tc>
          <w:tcPr>
            <w:tcW w:w="212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不利物质条件的其他情形和有关约定</w:t>
            </w:r>
          </w:p>
        </w:tc>
        <w:tc>
          <w:tcPr>
            <w:tcW w:w="580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投标人应在投标前自行认真踏勘施工现场，熟悉施工现场及周边环境、周边现状条件、施工空间、出入道路通道等情况，仔细了解和检查施工现场及周边的构筑物、建筑物、管线情况以及可作为储存和施工用途的空间，了解并掌握采购人提供的用水、用电设施情况，了解施工现场所在地物业公司对本工程施工的管理规定和要求（施工时必须服从接受物业公司的管理或安排），以获得一切可能影响投标报价的直接资料。因上述情况在本工程施工中需发生的费用列入措施费中，计入总报价一次包定。无论是否开列费用或费用高低，采购人将一律视投标文件为一个有经验的承包商已确认所有现场条件并预见到了可能发生的异常情况下的投标。中标后，不得以不完全了解施工现场情况为理由而提出费用索赔、增加工程价款或延长工期或延后竣工日期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6.1</w:t>
            </w:r>
          </w:p>
        </w:tc>
        <w:tc>
          <w:tcPr>
            <w:tcW w:w="212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承包人提交详尽施工进度计划的时间</w:t>
            </w:r>
          </w:p>
        </w:tc>
        <w:tc>
          <w:tcPr>
            <w:tcW w:w="580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中标后一星期内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6.4</w:t>
            </w:r>
          </w:p>
        </w:tc>
        <w:tc>
          <w:tcPr>
            <w:tcW w:w="212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异常恶劣的气候条件</w:t>
            </w:r>
          </w:p>
        </w:tc>
        <w:tc>
          <w:tcPr>
            <w:tcW w:w="580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（1）台风蓝色及其以上级别的预警，停止露天高空等户外危险作业；</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（2）暴雨黄色预警及其以上级别的预警，切断低洼地带带有的室外电源，暂停在空旷地方的户外作业；</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（3）大风黄色预警信号及其以上预警，停止露天活动和高空等户外危险作业；</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（4）高温红色预警信号，24小时内最高气温升至40°以上，停止户外露天作业（除特殊行业外）；</w:t>
            </w:r>
          </w:p>
          <w:p>
            <w:pPr>
              <w:spacing w:line="360" w:lineRule="auto"/>
              <w:rPr>
                <w:rFonts w:ascii="宋体" w:hAnsi="宋体" w:cs="宋体"/>
                <w:color w:val="auto"/>
                <w:szCs w:val="21"/>
                <w:highlight w:val="none"/>
              </w:rPr>
            </w:pPr>
            <w:r>
              <w:rPr>
                <w:rFonts w:hint="eastAsia" w:ascii="宋体" w:hAnsi="宋体" w:cs="宋体"/>
                <w:color w:val="auto"/>
                <w:szCs w:val="21"/>
                <w:highlight w:val="none"/>
              </w:rPr>
              <w:t>（5）雷电黄色预警信号及其以上预警，避免户外活动。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6.5</w:t>
            </w:r>
          </w:p>
        </w:tc>
        <w:tc>
          <w:tcPr>
            <w:tcW w:w="212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因承包人原因造成工期延误、逾期竣工违约金的计算方法及最高限额</w:t>
            </w:r>
          </w:p>
        </w:tc>
        <w:tc>
          <w:tcPr>
            <w:tcW w:w="580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按合同总价的2‱/天计算。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9.3</w:t>
            </w:r>
          </w:p>
        </w:tc>
        <w:tc>
          <w:tcPr>
            <w:tcW w:w="212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变更的估价原则</w:t>
            </w:r>
          </w:p>
        </w:tc>
        <w:tc>
          <w:tcPr>
            <w:tcW w:w="580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(1)投标书中已有相同工程项目综合单价的按原有单价执行。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 投标书中有类似工程项目综合单价的参照类似的综合单价组价方式执行组价。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(3)由于清单项目中项目特征或工程内容发生部分变更的，应以原综合单价为基础，仅就变更部分相应定额子目调整综合单价。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(4)投标书中没有相同和类似的变更工程价格，其相应的综合单价组成按以下原则处理：按相关预算定额的人工、材料、机械消耗数量，按投标时的人工、材料、机械单价及费率、下浮率组成新的综合单价；投标书中没有的材料、机械 、人工单价，按施工期间的《上海建设工程造价和交易信息》中对应的工料机信息价单价执行。无信息价部分主材由承包人自行报价，由发包人、工程监理、投资监理（如有）进行审核，办理签证认可后执行。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(5)暂定单价的材料，中标人在采购前一月事先征得监理单位、投资监理单位（如有）和发包人确认及同意后方可采用。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(6)以上重新组价的综合单价不能高于按上海市现行工程造价计价规则和计价依据规定计算的价格，并按投标时下浮幅度下浮。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10.1</w:t>
            </w:r>
          </w:p>
        </w:tc>
        <w:tc>
          <w:tcPr>
            <w:tcW w:w="212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计量周期</w:t>
            </w:r>
          </w:p>
        </w:tc>
        <w:tc>
          <w:tcPr>
            <w:tcW w:w="580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按月计量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10.2</w:t>
            </w:r>
          </w:p>
        </w:tc>
        <w:tc>
          <w:tcPr>
            <w:tcW w:w="212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预付款的额度</w:t>
            </w:r>
          </w:p>
        </w:tc>
        <w:tc>
          <w:tcPr>
            <w:tcW w:w="580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工程总包合同价的</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0%（含100%的安全文明施工措施费）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10.2</w:t>
            </w:r>
          </w:p>
        </w:tc>
        <w:tc>
          <w:tcPr>
            <w:tcW w:w="212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预付款预付办法</w:t>
            </w:r>
          </w:p>
        </w:tc>
        <w:tc>
          <w:tcPr>
            <w:tcW w:w="580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在施工合同生效之日起的一个月内，其他按通用条款执行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10.2</w:t>
            </w:r>
          </w:p>
        </w:tc>
        <w:tc>
          <w:tcPr>
            <w:tcW w:w="212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预付款扣回与还清</w:t>
            </w:r>
          </w:p>
        </w:tc>
        <w:tc>
          <w:tcPr>
            <w:tcW w:w="580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工程预付款抵进度款，当产值累计审核后的支付金额达到工程预付款金额，次月开始支付进度款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10.3</w:t>
            </w:r>
          </w:p>
        </w:tc>
        <w:tc>
          <w:tcPr>
            <w:tcW w:w="212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工程进度付款</w:t>
            </w:r>
          </w:p>
        </w:tc>
        <w:tc>
          <w:tcPr>
            <w:tcW w:w="5809" w:type="dxa"/>
            <w:vAlign w:val="center"/>
          </w:tcPr>
          <w:p>
            <w:pPr>
              <w:spacing w:line="360" w:lineRule="auto"/>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ascii="宋体" w:hAnsi="宋体"/>
                <w:color w:val="auto"/>
                <w:szCs w:val="21"/>
                <w:highlight w:val="none"/>
              </w:rPr>
              <w:t>）竣工验收后</w:t>
            </w:r>
            <w:r>
              <w:rPr>
                <w:rFonts w:hint="eastAsia" w:ascii="宋体" w:hAnsi="宋体"/>
                <w:color w:val="auto"/>
                <w:szCs w:val="21"/>
                <w:highlight w:val="none"/>
              </w:rPr>
              <w:t>，</w:t>
            </w:r>
            <w:r>
              <w:rPr>
                <w:rFonts w:ascii="宋体" w:hAnsi="宋体"/>
                <w:color w:val="auto"/>
                <w:szCs w:val="21"/>
                <w:highlight w:val="none"/>
              </w:rPr>
              <w:t>工程进度款支付累计不得超过合同额的</w:t>
            </w:r>
            <w:r>
              <w:rPr>
                <w:rFonts w:hint="eastAsia" w:ascii="宋体" w:hAnsi="宋体"/>
                <w:color w:val="auto"/>
                <w:szCs w:val="21"/>
                <w:highlight w:val="none"/>
                <w:lang w:val="en-US" w:eastAsia="zh-CN"/>
              </w:rPr>
              <w:t>7</w:t>
            </w:r>
            <w:r>
              <w:rPr>
                <w:rFonts w:ascii="宋体" w:hAnsi="宋体"/>
                <w:color w:val="auto"/>
                <w:szCs w:val="21"/>
                <w:highlight w:val="none"/>
              </w:rPr>
              <w:t>0%</w:t>
            </w:r>
            <w:r>
              <w:rPr>
                <w:rFonts w:hint="eastAsia" w:ascii="宋体" w:hAnsi="宋体"/>
                <w:color w:val="auto"/>
                <w:szCs w:val="21"/>
                <w:highlight w:val="none"/>
              </w:rPr>
              <w:t>；</w:t>
            </w:r>
          </w:p>
          <w:p>
            <w:pPr>
              <w:spacing w:line="360" w:lineRule="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）工程审计结束后，工程款项支付至审计结算金额的</w:t>
            </w:r>
            <w:r>
              <w:rPr>
                <w:rFonts w:ascii="宋体" w:hAnsi="宋体"/>
                <w:color w:val="auto"/>
                <w:szCs w:val="21"/>
                <w:highlight w:val="none"/>
              </w:rPr>
              <w:t>97</w:t>
            </w:r>
            <w:r>
              <w:rPr>
                <w:rFonts w:hint="eastAsia" w:ascii="宋体" w:hAnsi="宋体"/>
                <w:color w:val="auto"/>
                <w:szCs w:val="21"/>
                <w:highlight w:val="none"/>
              </w:rPr>
              <w:t>%；</w:t>
            </w:r>
          </w:p>
          <w:p>
            <w:pPr>
              <w:spacing w:line="360" w:lineRule="auto"/>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）付款周期由承发包双方另行约定。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10.4</w:t>
            </w:r>
          </w:p>
        </w:tc>
        <w:tc>
          <w:tcPr>
            <w:tcW w:w="212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质量保证金的扣留方式</w:t>
            </w:r>
          </w:p>
        </w:tc>
        <w:tc>
          <w:tcPr>
            <w:tcW w:w="580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双方约定的其他扣留方式。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10.4</w:t>
            </w:r>
          </w:p>
        </w:tc>
        <w:tc>
          <w:tcPr>
            <w:tcW w:w="212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质量保证金的补充约定</w:t>
            </w:r>
          </w:p>
        </w:tc>
        <w:tc>
          <w:tcPr>
            <w:tcW w:w="580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保留审计结算金额的3%作为工程质量保修金，待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年工程缺陷责任期满后三十天内付清。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10.5.1</w:t>
            </w:r>
          </w:p>
        </w:tc>
        <w:tc>
          <w:tcPr>
            <w:tcW w:w="212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竣工结算价格调整因素</w:t>
            </w:r>
          </w:p>
        </w:tc>
        <w:tc>
          <w:tcPr>
            <w:tcW w:w="580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10.6</w:t>
            </w:r>
          </w:p>
        </w:tc>
        <w:tc>
          <w:tcPr>
            <w:tcW w:w="212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逾期付款违约金</w:t>
            </w:r>
          </w:p>
        </w:tc>
        <w:tc>
          <w:tcPr>
            <w:tcW w:w="5809" w:type="dxa"/>
            <w:vAlign w:val="center"/>
          </w:tcPr>
          <w:p>
            <w:pPr>
              <w:spacing w:line="360" w:lineRule="auto"/>
              <w:rPr>
                <w:rFonts w:ascii="宋体" w:hAnsi="宋体" w:cs="宋体"/>
                <w:color w:val="auto"/>
                <w:szCs w:val="21"/>
                <w:highlight w:val="none"/>
              </w:rPr>
            </w:pPr>
            <w:r>
              <w:rPr>
                <w:rFonts w:hint="eastAsia" w:ascii="宋体" w:hAnsi="宋体"/>
                <w:color w:val="auto"/>
                <w:szCs w:val="21"/>
                <w:highlight w:val="none"/>
              </w:rPr>
              <w:t>对于满足合同约定支付条件的，甲方应当自收到发票后30日内将资金支付到合同约定的乙方账户，不得以机构变动、人员更替、政策调整等为由延迟付款，不得将采购文件和合同中未规定的义务作为向乙方付款的条件。若甲方逾期支付资金或逾期退还保证金，乙方可依法追究甲方相应的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11.3</w:t>
            </w:r>
          </w:p>
        </w:tc>
        <w:tc>
          <w:tcPr>
            <w:tcW w:w="212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实际竣工日期的特别约定</w:t>
            </w:r>
          </w:p>
        </w:tc>
        <w:tc>
          <w:tcPr>
            <w:tcW w:w="580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11.4</w:t>
            </w:r>
          </w:p>
        </w:tc>
        <w:tc>
          <w:tcPr>
            <w:tcW w:w="212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试运行的特别规定</w:t>
            </w:r>
          </w:p>
        </w:tc>
        <w:tc>
          <w:tcPr>
            <w:tcW w:w="580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12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工程保修质量保修范围</w:t>
            </w:r>
          </w:p>
        </w:tc>
        <w:tc>
          <w:tcPr>
            <w:tcW w:w="580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见工程质量保修书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13.1.1</w:t>
            </w:r>
          </w:p>
        </w:tc>
        <w:tc>
          <w:tcPr>
            <w:tcW w:w="212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工程保险的特别约定</w:t>
            </w:r>
          </w:p>
        </w:tc>
        <w:tc>
          <w:tcPr>
            <w:tcW w:w="580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14.1.1</w:t>
            </w:r>
          </w:p>
        </w:tc>
        <w:tc>
          <w:tcPr>
            <w:tcW w:w="212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视为不可抗力的其他情形</w:t>
            </w:r>
          </w:p>
        </w:tc>
        <w:tc>
          <w:tcPr>
            <w:tcW w:w="580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14.3</w:t>
            </w:r>
          </w:p>
        </w:tc>
        <w:tc>
          <w:tcPr>
            <w:tcW w:w="212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不可抗力导致的后果，合同双方承担的原则</w:t>
            </w:r>
          </w:p>
        </w:tc>
        <w:tc>
          <w:tcPr>
            <w:tcW w:w="580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212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争议的解决方式</w:t>
            </w:r>
          </w:p>
        </w:tc>
        <w:tc>
          <w:tcPr>
            <w:tcW w:w="580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向</w:t>
            </w:r>
            <w:r>
              <w:rPr>
                <w:rFonts w:hint="eastAsia" w:ascii="宋体" w:hAnsi="宋体" w:cs="宋体"/>
                <w:color w:val="auto"/>
                <w:szCs w:val="21"/>
                <w:highlight w:val="none"/>
                <w:u w:val="single"/>
              </w:rPr>
              <w:t>被告方或工程所在地有管辖权的</w:t>
            </w:r>
            <w:r>
              <w:rPr>
                <w:rFonts w:hint="eastAsia" w:ascii="宋体" w:hAnsi="宋体" w:cs="宋体"/>
                <w:color w:val="auto"/>
                <w:szCs w:val="21"/>
                <w:highlight w:val="none"/>
              </w:rPr>
              <w:t>人民法院起诉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17.3.1</w:t>
            </w:r>
          </w:p>
        </w:tc>
        <w:tc>
          <w:tcPr>
            <w:tcW w:w="212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争议评审的程序和规则</w:t>
            </w:r>
          </w:p>
        </w:tc>
        <w:tc>
          <w:tcPr>
            <w:tcW w:w="5809"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无</w:t>
            </w:r>
          </w:p>
        </w:tc>
      </w:tr>
    </w:tbl>
    <w:p>
      <w:pPr>
        <w:snapToGrid w:val="0"/>
        <w:spacing w:line="360" w:lineRule="auto"/>
        <w:ind w:firstLine="480"/>
        <w:rPr>
          <w:rFonts w:ascii="宋体" w:hAnsi="宋体"/>
          <w:color w:val="auto"/>
          <w:szCs w:val="21"/>
          <w:highlight w:val="none"/>
        </w:rPr>
      </w:pPr>
    </w:p>
    <w:p>
      <w:pPr>
        <w:snapToGrid w:val="0"/>
        <w:spacing w:line="360" w:lineRule="auto"/>
        <w:ind w:firstLine="480"/>
        <w:rPr>
          <w:rFonts w:ascii="宋体" w:hAnsi="宋体"/>
          <w:color w:val="auto"/>
          <w:szCs w:val="21"/>
          <w:highlight w:val="none"/>
        </w:rPr>
      </w:pPr>
    </w:p>
    <w:p>
      <w:pPr>
        <w:snapToGrid w:val="0"/>
        <w:spacing w:line="360" w:lineRule="auto"/>
        <w:ind w:firstLine="480"/>
        <w:rPr>
          <w:rFonts w:ascii="宋体" w:hAnsi="宋体"/>
          <w:color w:val="auto"/>
          <w:szCs w:val="21"/>
          <w:highlight w:val="none"/>
        </w:rPr>
      </w:pPr>
    </w:p>
    <w:p>
      <w:pPr>
        <w:widowControl/>
        <w:jc w:val="left"/>
        <w:rPr>
          <w:rFonts w:ascii="宋体" w:hAnsi="宋体"/>
          <w:color w:val="auto"/>
          <w:szCs w:val="21"/>
          <w:highlight w:val="none"/>
        </w:rPr>
      </w:pPr>
      <w:r>
        <w:rPr>
          <w:rFonts w:ascii="宋体" w:hAnsi="宋体"/>
          <w:color w:val="auto"/>
          <w:szCs w:val="21"/>
          <w:highlight w:val="none"/>
        </w:rPr>
        <w:br w:type="page"/>
      </w:r>
      <w:bookmarkStart w:id="116" w:name="_Toc1754"/>
      <w:bookmarkStart w:id="117" w:name="_Toc10049"/>
      <w:bookmarkStart w:id="118" w:name="_Toc9376"/>
      <w:bookmarkStart w:id="119" w:name="_Toc482874356"/>
      <w:bookmarkStart w:id="120" w:name="_Toc364679593"/>
      <w:bookmarkStart w:id="121" w:name="_Toc1542"/>
      <w:bookmarkStart w:id="122" w:name="_Toc2563"/>
      <w:bookmarkStart w:id="123" w:name="_Toc24717"/>
      <w:bookmarkStart w:id="124" w:name="_Toc450228615"/>
      <w:bookmarkStart w:id="125" w:name="_Toc31418"/>
    </w:p>
    <w:p>
      <w:pPr>
        <w:pStyle w:val="3"/>
        <w:keepNext w:val="0"/>
        <w:keepLines w:val="0"/>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第四节 合同附件</w:t>
      </w:r>
      <w:bookmarkEnd w:id="116"/>
      <w:bookmarkEnd w:id="117"/>
      <w:bookmarkEnd w:id="118"/>
      <w:bookmarkEnd w:id="119"/>
      <w:bookmarkEnd w:id="120"/>
      <w:bookmarkEnd w:id="121"/>
      <w:bookmarkEnd w:id="122"/>
      <w:bookmarkEnd w:id="123"/>
      <w:bookmarkEnd w:id="124"/>
      <w:bookmarkEnd w:id="125"/>
    </w:p>
    <w:p>
      <w:pPr>
        <w:spacing w:line="360" w:lineRule="auto"/>
        <w:jc w:val="left"/>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rPr>
        <w:t>1</w:t>
      </w:r>
      <w:r>
        <w:rPr>
          <w:rFonts w:ascii="宋体" w:hAnsi="宋体"/>
          <w:color w:val="auto"/>
          <w:szCs w:val="21"/>
          <w:highlight w:val="none"/>
        </w:rPr>
        <w:t>：工程质量保修书</w:t>
      </w:r>
    </w:p>
    <w:p>
      <w:pPr>
        <w:spacing w:line="360" w:lineRule="auto"/>
        <w:jc w:val="left"/>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rPr>
        <w:t>2</w:t>
      </w:r>
      <w:r>
        <w:rPr>
          <w:rFonts w:ascii="宋体" w:hAnsi="宋体"/>
          <w:color w:val="auto"/>
          <w:szCs w:val="21"/>
          <w:highlight w:val="none"/>
        </w:rPr>
        <w:t>：承包人用于本工程施工的机械设备表</w:t>
      </w:r>
    </w:p>
    <w:p>
      <w:pPr>
        <w:spacing w:line="360" w:lineRule="auto"/>
        <w:jc w:val="left"/>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承包</w:t>
      </w:r>
      <w:r>
        <w:rPr>
          <w:rFonts w:ascii="宋体" w:hAnsi="宋体"/>
          <w:color w:val="auto"/>
          <w:szCs w:val="21"/>
          <w:highlight w:val="none"/>
        </w:rPr>
        <w:t>人主要施工管理人员表</w:t>
      </w:r>
    </w:p>
    <w:p>
      <w:pPr>
        <w:spacing w:line="360" w:lineRule="auto"/>
        <w:jc w:val="left"/>
        <w:rPr>
          <w:rFonts w:ascii="宋体" w:hAnsi="宋体"/>
          <w:color w:val="auto"/>
          <w:szCs w:val="21"/>
          <w:highlight w:val="none"/>
        </w:rPr>
      </w:pPr>
      <w:r>
        <w:rPr>
          <w:rFonts w:hint="eastAsia" w:ascii="宋体" w:hAnsi="宋体"/>
          <w:color w:val="auto"/>
          <w:szCs w:val="21"/>
          <w:highlight w:val="none"/>
        </w:rPr>
        <w:t>附件4：建设工程廉政责任书格式</w:t>
      </w:r>
    </w:p>
    <w:p>
      <w:pPr>
        <w:spacing w:line="360" w:lineRule="auto"/>
        <w:jc w:val="left"/>
        <w:rPr>
          <w:rFonts w:ascii="宋体" w:hAnsi="宋体"/>
          <w:color w:val="auto"/>
          <w:szCs w:val="21"/>
          <w:highlight w:val="none"/>
        </w:rPr>
      </w:pPr>
      <w:r>
        <w:rPr>
          <w:rFonts w:hint="eastAsia" w:ascii="宋体" w:hAnsi="宋体"/>
          <w:color w:val="auto"/>
          <w:szCs w:val="21"/>
          <w:highlight w:val="none"/>
        </w:rPr>
        <w:t>附件5：安全生产责任协议书格式</w:t>
      </w:r>
    </w:p>
    <w:p>
      <w:pPr>
        <w:spacing w:line="360" w:lineRule="auto"/>
        <w:jc w:val="left"/>
        <w:rPr>
          <w:rFonts w:ascii="宋体" w:hAnsi="宋体"/>
          <w:color w:val="auto"/>
          <w:szCs w:val="21"/>
          <w:highlight w:val="none"/>
        </w:rPr>
      </w:pPr>
      <w:r>
        <w:rPr>
          <w:rFonts w:hint="eastAsia" w:ascii="宋体" w:hAnsi="宋体"/>
          <w:color w:val="auto"/>
          <w:szCs w:val="21"/>
          <w:highlight w:val="none"/>
        </w:rPr>
        <w:t>附件6：文明施工责任协议书格式</w:t>
      </w:r>
    </w:p>
    <w:p>
      <w:pPr>
        <w:spacing w:line="360" w:lineRule="auto"/>
        <w:jc w:val="left"/>
        <w:rPr>
          <w:rFonts w:ascii="宋体" w:hAnsi="宋体"/>
          <w:color w:val="auto"/>
          <w:szCs w:val="21"/>
          <w:highlight w:val="none"/>
        </w:rPr>
      </w:pPr>
      <w:r>
        <w:rPr>
          <w:rFonts w:hint="eastAsia" w:ascii="宋体" w:hAnsi="宋体"/>
          <w:color w:val="auto"/>
          <w:szCs w:val="21"/>
          <w:highlight w:val="none"/>
        </w:rPr>
        <w:t>附件7：治安、防火责任协议格式</w:t>
      </w:r>
    </w:p>
    <w:p>
      <w:pPr>
        <w:spacing w:line="360" w:lineRule="auto"/>
        <w:jc w:val="left"/>
        <w:rPr>
          <w:rFonts w:ascii="宋体" w:hAnsi="宋体"/>
          <w:color w:val="auto"/>
          <w:szCs w:val="21"/>
          <w:highlight w:val="none"/>
        </w:rPr>
        <w:sectPr>
          <w:footerReference r:id="rId16" w:type="first"/>
          <w:pgSz w:w="11906" w:h="16838"/>
          <w:pgMar w:top="1418" w:right="1555" w:bottom="1418" w:left="1531" w:header="851" w:footer="813" w:gutter="0"/>
          <w:pgNumType w:start="1"/>
          <w:cols w:space="720" w:num="1"/>
          <w:titlePg/>
          <w:docGrid w:type="lines" w:linePitch="312" w:charSpace="0"/>
        </w:sectPr>
      </w:pPr>
    </w:p>
    <w:p>
      <w:pPr>
        <w:spacing w:line="360" w:lineRule="auto"/>
        <w:outlineLvl w:val="2"/>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rPr>
        <w:t>1</w:t>
      </w:r>
      <w:r>
        <w:rPr>
          <w:rFonts w:ascii="宋体" w:hAnsi="宋体"/>
          <w:color w:val="auto"/>
          <w:szCs w:val="21"/>
          <w:highlight w:val="none"/>
        </w:rPr>
        <w:t>：工程质量保修书</w:t>
      </w:r>
    </w:p>
    <w:p>
      <w:pPr>
        <w:spacing w:before="120" w:beforeLines="50" w:after="120" w:afterLines="50" w:line="360" w:lineRule="auto"/>
        <w:jc w:val="center"/>
        <w:rPr>
          <w:rFonts w:ascii="宋体" w:hAnsi="宋体"/>
          <w:color w:val="auto"/>
          <w:szCs w:val="21"/>
          <w:highlight w:val="none"/>
        </w:rPr>
      </w:pPr>
      <w:r>
        <w:rPr>
          <w:rFonts w:ascii="宋体" w:hAnsi="宋体"/>
          <w:color w:val="auto"/>
          <w:szCs w:val="21"/>
          <w:highlight w:val="none"/>
        </w:rPr>
        <w:t>工程质量保修书</w:t>
      </w:r>
    </w:p>
    <w:p>
      <w:pPr>
        <w:spacing w:line="360" w:lineRule="auto"/>
        <w:rPr>
          <w:rFonts w:ascii="宋体" w:hAnsi="宋体"/>
          <w:color w:val="auto"/>
          <w:szCs w:val="21"/>
          <w:highlight w:val="none"/>
        </w:rPr>
      </w:pPr>
      <w:r>
        <w:rPr>
          <w:rFonts w:hint="eastAsia" w:ascii="宋体" w:hAnsi="宋体"/>
          <w:color w:val="auto"/>
          <w:szCs w:val="21"/>
          <w:highlight w:val="none"/>
        </w:rPr>
        <w:t>发 包 人：</w:t>
      </w:r>
      <w:r>
        <w:rPr>
          <w:rFonts w:hint="eastAsia" w:ascii="宋体" w:hAnsi="宋体"/>
          <w:color w:val="auto"/>
          <w:szCs w:val="21"/>
          <w:highlight w:val="none"/>
          <w:u w:val="single"/>
        </w:rPr>
        <w:t xml:space="preserve">            </w:t>
      </w:r>
      <w:r>
        <w:rPr>
          <w:rFonts w:hint="eastAsia" w:ascii="宋体" w:hAnsi="宋体"/>
          <w:color w:val="auto"/>
          <w:szCs w:val="21"/>
          <w:highlight w:val="none"/>
        </w:rPr>
        <w:t>（以下简称甲方）</w:t>
      </w:r>
    </w:p>
    <w:p>
      <w:pPr>
        <w:spacing w:line="360" w:lineRule="auto"/>
        <w:rPr>
          <w:rFonts w:ascii="宋体" w:hAnsi="宋体"/>
          <w:color w:val="auto"/>
          <w:szCs w:val="21"/>
          <w:highlight w:val="none"/>
        </w:rPr>
      </w:pPr>
      <w:r>
        <w:rPr>
          <w:rFonts w:hint="eastAsia" w:ascii="宋体" w:hAnsi="宋体"/>
          <w:color w:val="auto"/>
          <w:szCs w:val="21"/>
          <w:highlight w:val="none"/>
        </w:rPr>
        <w:t>承 包 人：</w:t>
      </w:r>
      <w:r>
        <w:rPr>
          <w:rFonts w:hint="eastAsia" w:ascii="宋体" w:hAnsi="宋体"/>
          <w:color w:val="auto"/>
          <w:szCs w:val="21"/>
          <w:highlight w:val="none"/>
          <w:u w:val="single"/>
        </w:rPr>
        <w:t xml:space="preserve">            </w:t>
      </w:r>
      <w:r>
        <w:rPr>
          <w:rFonts w:hint="eastAsia" w:ascii="宋体" w:hAnsi="宋体"/>
          <w:color w:val="auto"/>
          <w:szCs w:val="21"/>
          <w:highlight w:val="none"/>
        </w:rPr>
        <w:t>（以下简称乙方）</w:t>
      </w:r>
    </w:p>
    <w:p>
      <w:pPr>
        <w:spacing w:line="360" w:lineRule="auto"/>
        <w:rPr>
          <w:rFonts w:ascii="宋体" w:hAnsi="宋体"/>
          <w:color w:val="auto"/>
          <w:szCs w:val="21"/>
          <w:highlight w:val="none"/>
        </w:rPr>
      </w:pPr>
      <w:r>
        <w:rPr>
          <w:rFonts w:hint="eastAsia" w:ascii="宋体" w:hAnsi="宋体"/>
          <w:color w:val="auto"/>
          <w:szCs w:val="21"/>
          <w:highlight w:val="none"/>
        </w:rPr>
        <w:t>　   甲、乙双方根据《中华人民共和国建筑法》、《建设工程质量管理条例》、《房屋建筑工程质量保修办法》签订本工程的质量保修书（以下简称本工程保修合同）。</w:t>
      </w:r>
    </w:p>
    <w:p>
      <w:pPr>
        <w:spacing w:line="360" w:lineRule="auto"/>
        <w:rPr>
          <w:rFonts w:ascii="宋体" w:hAnsi="宋体"/>
          <w:color w:val="auto"/>
          <w:szCs w:val="21"/>
          <w:highlight w:val="none"/>
        </w:rPr>
      </w:pPr>
      <w:r>
        <w:rPr>
          <w:rFonts w:hint="eastAsia" w:ascii="宋体" w:hAnsi="宋体"/>
          <w:color w:val="auto"/>
          <w:szCs w:val="21"/>
          <w:highlight w:val="none"/>
        </w:rPr>
        <w:t>一、工程质量保修范围和内容</w:t>
      </w:r>
      <w:r>
        <w:rPr>
          <w:rFonts w:hint="eastAsia" w:ascii="宋体" w:hAnsi="宋体"/>
          <w:color w:val="auto"/>
          <w:szCs w:val="21"/>
          <w:highlight w:val="none"/>
        </w:rPr>
        <w:br w:type="textWrapping"/>
      </w:r>
      <w:r>
        <w:rPr>
          <w:rFonts w:hint="eastAsia" w:ascii="宋体" w:hAnsi="宋体"/>
          <w:color w:val="auto"/>
          <w:szCs w:val="21"/>
          <w:highlight w:val="none"/>
        </w:rPr>
        <w:t>　　乙方在质量保修期内，按照有关法律、法规、规章的管理规定和双方约定，承担本工程质量保修责任。</w:t>
      </w:r>
    </w:p>
    <w:p>
      <w:pPr>
        <w:spacing w:line="360" w:lineRule="auto"/>
        <w:ind w:firstLine="480"/>
        <w:rPr>
          <w:rFonts w:ascii="宋体" w:hAnsi="宋体"/>
          <w:color w:val="auto"/>
          <w:szCs w:val="21"/>
          <w:highlight w:val="none"/>
        </w:rPr>
      </w:pPr>
      <w:r>
        <w:rPr>
          <w:rFonts w:hint="eastAsia" w:ascii="宋体" w:hAnsi="宋体"/>
          <w:color w:val="auto"/>
          <w:szCs w:val="21"/>
          <w:highlight w:val="none"/>
        </w:rPr>
        <w:t>质量保修范围</w:t>
      </w:r>
      <w:r>
        <w:rPr>
          <w:rFonts w:hint="eastAsia" w:ascii="宋体" w:hAnsi="宋体"/>
          <w:color w:val="auto"/>
          <w:szCs w:val="21"/>
          <w:highlight w:val="none"/>
          <w:u w:val="single"/>
        </w:rPr>
        <w:t xml:space="preserve">                                           </w:t>
      </w:r>
      <w:r>
        <w:rPr>
          <w:rFonts w:hint="eastAsia" w:ascii="宋体" w:hAnsi="宋体"/>
          <w:color w:val="auto"/>
          <w:szCs w:val="21"/>
          <w:highlight w:val="none"/>
        </w:rPr>
        <w:t>，以及双方约定的其他项目。具体保修的内容，双方约定如下：</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rPr>
          <w:rFonts w:ascii="宋体" w:hAnsi="宋体"/>
          <w:color w:val="auto"/>
          <w:szCs w:val="21"/>
          <w:highlight w:val="none"/>
        </w:rPr>
      </w:pPr>
      <w:r>
        <w:rPr>
          <w:rFonts w:hint="eastAsia" w:ascii="宋体" w:hAnsi="宋体"/>
          <w:color w:val="auto"/>
          <w:szCs w:val="21"/>
          <w:highlight w:val="none"/>
        </w:rPr>
        <w:t>二、质量保修期</w:t>
      </w:r>
      <w:r>
        <w:rPr>
          <w:rFonts w:hint="eastAsia" w:ascii="宋体" w:hAnsi="宋体"/>
          <w:color w:val="auto"/>
          <w:szCs w:val="21"/>
          <w:highlight w:val="none"/>
        </w:rPr>
        <w:br w:type="textWrapping"/>
      </w:r>
      <w:r>
        <w:rPr>
          <w:rFonts w:hint="eastAsia" w:ascii="宋体" w:hAnsi="宋体"/>
          <w:color w:val="auto"/>
          <w:szCs w:val="21"/>
          <w:highlight w:val="none"/>
        </w:rPr>
        <w:t xml:space="preserve">　　甲、乙双方根据整体工程质量保修要求，约定本工程的质量保修期为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年。质量保修期自整体工程竣工验收合格之日起计算。</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自</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日起至</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日止。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其他项目保修期限约定如下：</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34"/>
        <w:spacing w:line="360" w:lineRule="auto"/>
        <w:ind w:left="0" w:leftChars="0"/>
        <w:rPr>
          <w:rFonts w:ascii="宋体" w:hAnsi="宋体"/>
          <w:color w:val="auto"/>
          <w:sz w:val="21"/>
          <w:szCs w:val="21"/>
          <w:highlight w:val="none"/>
        </w:rPr>
      </w:pPr>
      <w:r>
        <w:rPr>
          <w:rFonts w:hint="eastAsia" w:ascii="宋体" w:hAnsi="宋体"/>
          <w:color w:val="auto"/>
          <w:sz w:val="21"/>
          <w:szCs w:val="21"/>
          <w:highlight w:val="none"/>
        </w:rPr>
        <w:t>三、质量保修责任</w:t>
      </w:r>
    </w:p>
    <w:p>
      <w:pPr>
        <w:pStyle w:val="34"/>
        <w:numPr>
          <w:ilvl w:val="0"/>
          <w:numId w:val="4"/>
        </w:numPr>
        <w:tabs>
          <w:tab w:val="left" w:pos="993"/>
        </w:tabs>
        <w:spacing w:line="360" w:lineRule="auto"/>
        <w:ind w:left="0" w:leftChars="0" w:firstLine="424" w:firstLineChars="202"/>
        <w:rPr>
          <w:rFonts w:ascii="宋体" w:hAnsi="宋体"/>
          <w:color w:val="auto"/>
          <w:sz w:val="21"/>
          <w:szCs w:val="21"/>
          <w:highlight w:val="none"/>
        </w:rPr>
      </w:pPr>
      <w:r>
        <w:rPr>
          <w:rFonts w:hint="eastAsia" w:ascii="宋体" w:hAnsi="宋体"/>
          <w:color w:val="auto"/>
          <w:sz w:val="21"/>
          <w:szCs w:val="21"/>
          <w:highlight w:val="none"/>
        </w:rPr>
        <w:t>属于保修范围、内容的项目，乙方应当在接到保修通知之日起天</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小时内，响应甲方的保修要求，并于</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小时内派人到现场开始保修工作。乙方不在约定期限内派人保修的，甲方可以委托他人修理。发生的维修费从乙方的质保金中扣除。</w:t>
      </w:r>
    </w:p>
    <w:p>
      <w:pPr>
        <w:numPr>
          <w:ilvl w:val="0"/>
          <w:numId w:val="4"/>
        </w:numPr>
        <w:tabs>
          <w:tab w:val="left" w:pos="993"/>
        </w:tabs>
        <w:spacing w:line="360" w:lineRule="auto"/>
        <w:ind w:left="0" w:firstLine="424" w:firstLineChars="202"/>
        <w:rPr>
          <w:rFonts w:ascii="宋体" w:hAnsi="宋体"/>
          <w:color w:val="auto"/>
          <w:szCs w:val="21"/>
          <w:highlight w:val="none"/>
        </w:rPr>
      </w:pPr>
      <w:r>
        <w:rPr>
          <w:rFonts w:hint="eastAsia" w:ascii="宋体" w:hAnsi="宋体"/>
          <w:color w:val="auto"/>
          <w:szCs w:val="21"/>
          <w:highlight w:val="none"/>
        </w:rPr>
        <w:t>发生紧急抢修事故的，乙方在接到事故通知，应当立即到达事故现场抢修。</w:t>
      </w:r>
    </w:p>
    <w:p>
      <w:pPr>
        <w:numPr>
          <w:ilvl w:val="0"/>
          <w:numId w:val="4"/>
        </w:numPr>
        <w:tabs>
          <w:tab w:val="left" w:pos="993"/>
        </w:tabs>
        <w:spacing w:line="360" w:lineRule="auto"/>
        <w:ind w:left="0" w:firstLine="424" w:firstLineChars="202"/>
        <w:rPr>
          <w:rFonts w:ascii="宋体" w:hAnsi="宋体"/>
          <w:color w:val="auto"/>
          <w:szCs w:val="21"/>
          <w:highlight w:val="none"/>
        </w:rPr>
      </w:pPr>
      <w:r>
        <w:rPr>
          <w:rFonts w:hint="eastAsia" w:ascii="宋体" w:hAnsi="宋体"/>
          <w:color w:val="auto"/>
          <w:szCs w:val="21"/>
          <w:highlight w:val="none"/>
        </w:rPr>
        <w:t xml:space="preserve">对于涉及结构安全的质量问题，应立即书面通知甲方，由甲方确定维修方案后，由乙方实施保修。 </w:t>
      </w:r>
    </w:p>
    <w:p>
      <w:pPr>
        <w:numPr>
          <w:ilvl w:val="0"/>
          <w:numId w:val="4"/>
        </w:numPr>
        <w:tabs>
          <w:tab w:val="left" w:pos="993"/>
        </w:tabs>
        <w:spacing w:line="360" w:lineRule="auto"/>
        <w:ind w:left="0" w:firstLine="424" w:firstLineChars="202"/>
        <w:rPr>
          <w:rFonts w:ascii="宋体" w:hAnsi="宋体"/>
          <w:color w:val="auto"/>
          <w:szCs w:val="21"/>
          <w:highlight w:val="none"/>
        </w:rPr>
      </w:pPr>
      <w:r>
        <w:rPr>
          <w:rFonts w:hint="eastAsia" w:ascii="宋体" w:hAnsi="宋体"/>
          <w:color w:val="auto"/>
          <w:szCs w:val="21"/>
          <w:highlight w:val="none"/>
        </w:rPr>
        <w:t>质量保修完成后，由甲方组织验收。</w:t>
      </w:r>
    </w:p>
    <w:p>
      <w:pPr>
        <w:pStyle w:val="34"/>
        <w:spacing w:line="360" w:lineRule="auto"/>
        <w:ind w:left="0" w:leftChars="0"/>
        <w:rPr>
          <w:rFonts w:ascii="宋体" w:hAnsi="宋体"/>
          <w:color w:val="auto"/>
          <w:sz w:val="21"/>
          <w:szCs w:val="21"/>
          <w:highlight w:val="none"/>
        </w:rPr>
      </w:pPr>
      <w:r>
        <w:rPr>
          <w:rFonts w:hint="eastAsia" w:ascii="宋体" w:hAnsi="宋体"/>
          <w:color w:val="auto"/>
          <w:sz w:val="21"/>
          <w:szCs w:val="21"/>
          <w:highlight w:val="none"/>
        </w:rPr>
        <w:t>四、保修费用</w:t>
      </w:r>
    </w:p>
    <w:p>
      <w:pPr>
        <w:pStyle w:val="34"/>
        <w:spacing w:line="360" w:lineRule="auto"/>
        <w:ind w:left="0" w:leftChars="0" w:firstLine="424" w:firstLineChars="202"/>
        <w:rPr>
          <w:rFonts w:ascii="宋体" w:hAnsi="宋体"/>
          <w:color w:val="auto"/>
          <w:sz w:val="21"/>
          <w:szCs w:val="21"/>
          <w:highlight w:val="none"/>
        </w:rPr>
      </w:pPr>
      <w:r>
        <w:rPr>
          <w:rFonts w:hint="eastAsia" w:ascii="宋体" w:hAnsi="宋体"/>
          <w:color w:val="auto"/>
          <w:sz w:val="21"/>
          <w:szCs w:val="21"/>
          <w:highlight w:val="none"/>
        </w:rPr>
        <w:t>保修期内确实因非乙方原因造成的返修工作，乙方通报甲方确认后，费用由责任方承担。</w:t>
      </w:r>
    </w:p>
    <w:p>
      <w:pPr>
        <w:spacing w:line="360" w:lineRule="auto"/>
        <w:rPr>
          <w:rFonts w:ascii="宋体" w:hAnsi="宋体"/>
          <w:color w:val="auto"/>
          <w:szCs w:val="21"/>
          <w:highlight w:val="none"/>
        </w:rPr>
      </w:pPr>
      <w:r>
        <w:rPr>
          <w:rFonts w:hint="eastAsia" w:ascii="宋体" w:hAnsi="宋体"/>
          <w:color w:val="auto"/>
          <w:szCs w:val="21"/>
          <w:highlight w:val="none"/>
        </w:rPr>
        <w:t>五、其他</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甲、乙双方约定的其他关于本工程的质量保修事项：</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本工程质量保修书，由施工合同发包人、承包人双方在竣工验收前共同签署，作为施工合同附件，其有效期限至保修期满。</w:t>
      </w:r>
    </w:p>
    <w:p>
      <w:pPr>
        <w:spacing w:line="360" w:lineRule="auto"/>
        <w:rPr>
          <w:rFonts w:ascii="宋体" w:hAnsi="宋体"/>
          <w:color w:val="auto"/>
          <w:szCs w:val="21"/>
          <w:highlight w:val="none"/>
        </w:rPr>
      </w:pP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发包人（公章）：　　　       　　         承包人（公章）：</w:t>
      </w: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法定代表人或委托代理人（签字）：　　　　  法定代表人或委托代理人（签字）：</w:t>
      </w:r>
    </w:p>
    <w:p>
      <w:pPr>
        <w:spacing w:line="360" w:lineRule="auto"/>
        <w:rPr>
          <w:rFonts w:ascii="宋体" w:hAnsi="宋体"/>
          <w:color w:val="auto"/>
          <w:szCs w:val="21"/>
          <w:highlight w:val="none"/>
        </w:rPr>
      </w:pPr>
    </w:p>
    <w:p>
      <w:pPr>
        <w:spacing w:line="360" w:lineRule="auto"/>
        <w:ind w:firstLine="359" w:firstLineChars="171"/>
        <w:rPr>
          <w:rFonts w:ascii="宋体" w:hAnsi="宋体"/>
          <w:color w:val="auto"/>
          <w:szCs w:val="21"/>
          <w:highlight w:val="none"/>
          <w:u w:val="single"/>
        </w:rPr>
      </w:pPr>
    </w:p>
    <w:p>
      <w:pPr>
        <w:spacing w:before="120" w:beforeLines="50" w:line="360" w:lineRule="auto"/>
        <w:rPr>
          <w:rFonts w:ascii="宋体" w:hAnsi="宋体"/>
          <w:color w:val="auto"/>
          <w:szCs w:val="21"/>
          <w:highlight w:val="none"/>
        </w:rPr>
      </w:pPr>
    </w:p>
    <w:p>
      <w:pPr>
        <w:spacing w:before="120" w:beforeLines="50"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年　月　日　　　　　　　　　　         　年　月　日</w:t>
      </w:r>
    </w:p>
    <w:p>
      <w:pPr>
        <w:spacing w:line="360" w:lineRule="auto"/>
        <w:rPr>
          <w:rFonts w:ascii="宋体" w:hAnsi="宋体"/>
          <w:b/>
          <w:color w:val="auto"/>
          <w:szCs w:val="21"/>
          <w:highlight w:val="none"/>
        </w:rPr>
        <w:sectPr>
          <w:pgSz w:w="11906" w:h="16838"/>
          <w:pgMar w:top="1418" w:right="1418" w:bottom="1418" w:left="1531" w:header="851" w:footer="851" w:gutter="0"/>
          <w:cols w:space="720" w:num="1"/>
          <w:docGrid w:linePitch="312" w:charSpace="0"/>
        </w:sectPr>
      </w:pPr>
    </w:p>
    <w:p>
      <w:pPr>
        <w:spacing w:line="360" w:lineRule="auto"/>
        <w:outlineLvl w:val="2"/>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rPr>
        <w:t>2</w:t>
      </w:r>
      <w:r>
        <w:rPr>
          <w:rFonts w:ascii="宋体" w:hAnsi="宋体"/>
          <w:color w:val="auto"/>
          <w:szCs w:val="21"/>
          <w:highlight w:val="none"/>
        </w:rPr>
        <w:t>：承包人用于本工程施工的机械设备表</w:t>
      </w:r>
    </w:p>
    <w:p>
      <w:pPr>
        <w:spacing w:before="120" w:beforeLines="50" w:after="120" w:afterLines="50" w:line="360" w:lineRule="auto"/>
        <w:jc w:val="center"/>
        <w:rPr>
          <w:rFonts w:ascii="宋体" w:hAnsi="宋体"/>
          <w:color w:val="auto"/>
          <w:szCs w:val="21"/>
          <w:highlight w:val="none"/>
        </w:rPr>
      </w:pPr>
      <w:r>
        <w:rPr>
          <w:rFonts w:ascii="宋体" w:hAnsi="宋体"/>
          <w:color w:val="auto"/>
          <w:szCs w:val="21"/>
          <w:highlight w:val="none"/>
        </w:rPr>
        <w:t>承包人用于本工程施工的机械设备表</w:t>
      </w:r>
    </w:p>
    <w:tbl>
      <w:tblPr>
        <w:tblStyle w:val="4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8" w:hRule="atLeast"/>
          <w:jc w:val="center"/>
        </w:trPr>
        <w:tc>
          <w:tcPr>
            <w:tcW w:w="1162" w:type="dxa"/>
            <w:tcBorders>
              <w:top w:val="single" w:color="auto" w:sz="12" w:space="0"/>
              <w:bottom w:val="double" w:color="auto" w:sz="6" w:space="0"/>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r>
              <w:rPr>
                <w:rFonts w:ascii="宋体" w:hAnsi="宋体"/>
                <w:color w:val="auto"/>
                <w:szCs w:val="21"/>
                <w:highlight w:val="none"/>
              </w:rPr>
              <w:t>序号</w:t>
            </w:r>
          </w:p>
        </w:tc>
        <w:tc>
          <w:tcPr>
            <w:tcW w:w="1418" w:type="dxa"/>
            <w:tcBorders>
              <w:top w:val="single" w:color="auto" w:sz="12" w:space="0"/>
              <w:bottom w:val="double" w:color="auto" w:sz="6" w:space="0"/>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r>
              <w:rPr>
                <w:rFonts w:ascii="宋体" w:hAnsi="宋体"/>
                <w:color w:val="auto"/>
                <w:szCs w:val="21"/>
                <w:highlight w:val="none"/>
              </w:rPr>
              <w:t>机械或</w:t>
            </w:r>
          </w:p>
          <w:p>
            <w:pPr>
              <w:adjustRightInd w:val="0"/>
              <w:spacing w:line="360" w:lineRule="auto"/>
              <w:ind w:left="63" w:leftChars="30" w:right="63" w:rightChars="30"/>
              <w:jc w:val="center"/>
              <w:textAlignment w:val="baseline"/>
              <w:rPr>
                <w:rFonts w:ascii="宋体" w:hAnsi="宋体"/>
                <w:color w:val="auto"/>
                <w:szCs w:val="21"/>
                <w:highlight w:val="none"/>
              </w:rPr>
            </w:pPr>
            <w:r>
              <w:rPr>
                <w:rFonts w:ascii="宋体" w:hAnsi="宋体"/>
                <w:color w:val="auto"/>
                <w:szCs w:val="21"/>
                <w:highlight w:val="none"/>
              </w:rPr>
              <w:t>设备名称</w:t>
            </w:r>
          </w:p>
        </w:tc>
        <w:tc>
          <w:tcPr>
            <w:tcW w:w="850" w:type="dxa"/>
            <w:tcBorders>
              <w:top w:val="single" w:color="auto" w:sz="12" w:space="0"/>
              <w:bottom w:val="double" w:color="auto" w:sz="6" w:space="0"/>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r>
              <w:rPr>
                <w:rFonts w:ascii="宋体" w:hAnsi="宋体"/>
                <w:color w:val="auto"/>
                <w:szCs w:val="21"/>
                <w:highlight w:val="none"/>
              </w:rPr>
              <w:t>规格</w:t>
            </w:r>
          </w:p>
          <w:p>
            <w:pPr>
              <w:adjustRightInd w:val="0"/>
              <w:spacing w:line="360" w:lineRule="auto"/>
              <w:ind w:left="63" w:leftChars="30" w:right="63" w:rightChars="30"/>
              <w:jc w:val="center"/>
              <w:textAlignment w:val="baseline"/>
              <w:rPr>
                <w:rFonts w:ascii="宋体" w:hAnsi="宋体"/>
                <w:color w:val="auto"/>
                <w:szCs w:val="21"/>
                <w:highlight w:val="none"/>
              </w:rPr>
            </w:pPr>
            <w:r>
              <w:rPr>
                <w:rFonts w:ascii="宋体" w:hAnsi="宋体"/>
                <w:color w:val="auto"/>
                <w:szCs w:val="21"/>
                <w:highlight w:val="none"/>
              </w:rPr>
              <w:t>型号</w:t>
            </w:r>
          </w:p>
        </w:tc>
        <w:tc>
          <w:tcPr>
            <w:tcW w:w="1058" w:type="dxa"/>
            <w:tcBorders>
              <w:top w:val="single" w:color="auto" w:sz="12" w:space="0"/>
              <w:bottom w:val="double" w:color="auto" w:sz="6" w:space="0"/>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r>
              <w:rPr>
                <w:rFonts w:ascii="宋体" w:hAnsi="宋体"/>
                <w:color w:val="auto"/>
                <w:szCs w:val="21"/>
                <w:highlight w:val="none"/>
              </w:rPr>
              <w:t>数量</w:t>
            </w:r>
          </w:p>
        </w:tc>
        <w:tc>
          <w:tcPr>
            <w:tcW w:w="880" w:type="dxa"/>
            <w:tcBorders>
              <w:top w:val="single" w:color="auto" w:sz="12" w:space="0"/>
              <w:bottom w:val="double" w:color="auto" w:sz="6" w:space="0"/>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r>
              <w:rPr>
                <w:rFonts w:ascii="宋体" w:hAnsi="宋体"/>
                <w:color w:val="auto"/>
                <w:szCs w:val="21"/>
                <w:highlight w:val="none"/>
              </w:rPr>
              <w:t>产地</w:t>
            </w:r>
          </w:p>
        </w:tc>
        <w:tc>
          <w:tcPr>
            <w:tcW w:w="1020" w:type="dxa"/>
            <w:tcBorders>
              <w:top w:val="single" w:color="auto" w:sz="12" w:space="0"/>
              <w:bottom w:val="double" w:color="auto" w:sz="6" w:space="0"/>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r>
              <w:rPr>
                <w:rFonts w:ascii="宋体" w:hAnsi="宋体"/>
                <w:color w:val="auto"/>
                <w:szCs w:val="21"/>
                <w:highlight w:val="none"/>
              </w:rPr>
              <w:t>制造</w:t>
            </w:r>
          </w:p>
          <w:p>
            <w:pPr>
              <w:adjustRightInd w:val="0"/>
              <w:spacing w:line="360" w:lineRule="auto"/>
              <w:ind w:left="63" w:leftChars="30" w:right="63" w:rightChars="30"/>
              <w:jc w:val="center"/>
              <w:textAlignment w:val="baseline"/>
              <w:rPr>
                <w:rFonts w:ascii="宋体" w:hAnsi="宋体"/>
                <w:color w:val="auto"/>
                <w:szCs w:val="21"/>
                <w:highlight w:val="none"/>
              </w:rPr>
            </w:pPr>
            <w:r>
              <w:rPr>
                <w:rFonts w:ascii="宋体" w:hAnsi="宋体"/>
                <w:color w:val="auto"/>
                <w:szCs w:val="21"/>
                <w:highlight w:val="none"/>
              </w:rPr>
              <w:t>年份</w:t>
            </w:r>
          </w:p>
        </w:tc>
        <w:tc>
          <w:tcPr>
            <w:tcW w:w="1480" w:type="dxa"/>
            <w:tcBorders>
              <w:top w:val="single" w:color="auto" w:sz="12" w:space="0"/>
              <w:bottom w:val="double" w:color="auto" w:sz="6" w:space="0"/>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r>
              <w:rPr>
                <w:rFonts w:ascii="宋体" w:hAnsi="宋体"/>
                <w:color w:val="auto"/>
                <w:szCs w:val="21"/>
                <w:highlight w:val="none"/>
              </w:rPr>
              <w:t>额定功率(kW)</w:t>
            </w:r>
          </w:p>
        </w:tc>
        <w:tc>
          <w:tcPr>
            <w:tcW w:w="1020" w:type="dxa"/>
            <w:tcBorders>
              <w:top w:val="single" w:color="auto" w:sz="12" w:space="0"/>
              <w:bottom w:val="double" w:color="auto" w:sz="6" w:space="0"/>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r>
              <w:rPr>
                <w:rFonts w:ascii="宋体" w:hAnsi="宋体"/>
                <w:color w:val="auto"/>
                <w:szCs w:val="21"/>
                <w:highlight w:val="none"/>
              </w:rPr>
              <w:t>生产</w:t>
            </w:r>
          </w:p>
          <w:p>
            <w:pPr>
              <w:adjustRightInd w:val="0"/>
              <w:spacing w:line="360" w:lineRule="auto"/>
              <w:ind w:left="63" w:leftChars="30" w:right="63" w:rightChars="30"/>
              <w:jc w:val="center"/>
              <w:textAlignment w:val="baseline"/>
              <w:rPr>
                <w:rFonts w:ascii="宋体" w:hAnsi="宋体"/>
                <w:color w:val="auto"/>
                <w:szCs w:val="21"/>
                <w:highlight w:val="none"/>
              </w:rPr>
            </w:pPr>
            <w:r>
              <w:rPr>
                <w:rFonts w:ascii="宋体" w:hAnsi="宋体"/>
                <w:color w:val="auto"/>
                <w:szCs w:val="21"/>
                <w:highlight w:val="none"/>
              </w:rPr>
              <w:t>能力</w:t>
            </w:r>
          </w:p>
        </w:tc>
        <w:tc>
          <w:tcPr>
            <w:tcW w:w="921" w:type="dxa"/>
            <w:tcBorders>
              <w:top w:val="single" w:color="auto" w:sz="12" w:space="0"/>
              <w:bottom w:val="double" w:color="auto" w:sz="6" w:space="0"/>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r>
              <w:rPr>
                <w:rFonts w:ascii="宋体" w:hAnsi="宋体"/>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418" w:type="dxa"/>
            <w:tcBorders>
              <w:top w:val="double" w:color="auto" w:sz="6" w:space="0"/>
              <w:bottom w:val="single" w:color="auto" w:sz="6" w:space="0"/>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850" w:type="dxa"/>
            <w:tcBorders>
              <w:top w:val="double" w:color="auto" w:sz="6" w:space="0"/>
              <w:bottom w:val="single" w:color="auto" w:sz="6" w:space="0"/>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058" w:type="dxa"/>
            <w:tcBorders>
              <w:top w:val="double" w:color="auto" w:sz="6" w:space="0"/>
              <w:bottom w:val="single" w:color="auto" w:sz="6" w:space="0"/>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880" w:type="dxa"/>
            <w:tcBorders>
              <w:top w:val="double" w:color="auto" w:sz="6" w:space="0"/>
              <w:bottom w:val="single" w:color="auto" w:sz="6" w:space="0"/>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020" w:type="dxa"/>
            <w:tcBorders>
              <w:top w:val="double" w:color="auto" w:sz="6" w:space="0"/>
              <w:bottom w:val="single" w:color="auto" w:sz="6" w:space="0"/>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480" w:type="dxa"/>
            <w:tcBorders>
              <w:top w:val="double" w:color="auto" w:sz="6" w:space="0"/>
              <w:bottom w:val="single" w:color="auto" w:sz="6" w:space="0"/>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020" w:type="dxa"/>
            <w:tcBorders>
              <w:top w:val="double" w:color="auto" w:sz="6" w:space="0"/>
              <w:bottom w:val="single" w:color="auto" w:sz="6" w:space="0"/>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921" w:type="dxa"/>
            <w:tcBorders>
              <w:top w:val="double" w:color="auto" w:sz="6" w:space="0"/>
              <w:bottom w:val="single" w:color="auto" w:sz="6" w:space="0"/>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418" w:type="dxa"/>
            <w:tcBorders>
              <w:top w:val="nil"/>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850" w:type="dxa"/>
            <w:tcBorders>
              <w:top w:val="nil"/>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058" w:type="dxa"/>
            <w:tcBorders>
              <w:top w:val="nil"/>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880" w:type="dxa"/>
            <w:tcBorders>
              <w:top w:val="nil"/>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020" w:type="dxa"/>
            <w:tcBorders>
              <w:top w:val="nil"/>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480" w:type="dxa"/>
            <w:tcBorders>
              <w:top w:val="nil"/>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020" w:type="dxa"/>
            <w:tcBorders>
              <w:top w:val="nil"/>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921" w:type="dxa"/>
            <w:tcBorders>
              <w:top w:val="nil"/>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418"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850"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058"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880"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020"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480"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020"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921"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418"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850"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058"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880"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020"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480"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020"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921"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418"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850"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058"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880"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020"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480"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020"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921"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418"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850"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058"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880"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020"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480"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020"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921"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418"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850"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058"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880"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020"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480"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020"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921"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418"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850"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058"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880"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020"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480"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020"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921"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360" w:lineRule="auto"/>
              <w:rPr>
                <w:rFonts w:ascii="宋体" w:hAnsi="宋体"/>
                <w:color w:val="auto"/>
                <w:szCs w:val="21"/>
                <w:highlight w:val="none"/>
              </w:rPr>
            </w:pPr>
          </w:p>
        </w:tc>
        <w:tc>
          <w:tcPr>
            <w:tcW w:w="1418" w:type="dxa"/>
          </w:tcPr>
          <w:p>
            <w:pPr>
              <w:spacing w:line="360" w:lineRule="auto"/>
              <w:rPr>
                <w:rFonts w:ascii="宋体" w:hAnsi="宋体"/>
                <w:color w:val="auto"/>
                <w:szCs w:val="21"/>
                <w:highlight w:val="none"/>
              </w:rPr>
            </w:pPr>
          </w:p>
        </w:tc>
        <w:tc>
          <w:tcPr>
            <w:tcW w:w="850" w:type="dxa"/>
          </w:tcPr>
          <w:p>
            <w:pPr>
              <w:spacing w:line="360" w:lineRule="auto"/>
              <w:rPr>
                <w:rFonts w:ascii="宋体" w:hAnsi="宋体"/>
                <w:color w:val="auto"/>
                <w:szCs w:val="21"/>
                <w:highlight w:val="none"/>
              </w:rPr>
            </w:pPr>
          </w:p>
        </w:tc>
        <w:tc>
          <w:tcPr>
            <w:tcW w:w="1058" w:type="dxa"/>
          </w:tcPr>
          <w:p>
            <w:pPr>
              <w:spacing w:line="360" w:lineRule="auto"/>
              <w:rPr>
                <w:rFonts w:ascii="宋体" w:hAnsi="宋体"/>
                <w:color w:val="auto"/>
                <w:szCs w:val="21"/>
                <w:highlight w:val="none"/>
              </w:rPr>
            </w:pPr>
          </w:p>
        </w:tc>
        <w:tc>
          <w:tcPr>
            <w:tcW w:w="880" w:type="dxa"/>
          </w:tcPr>
          <w:p>
            <w:pPr>
              <w:spacing w:line="360" w:lineRule="auto"/>
              <w:rPr>
                <w:rFonts w:ascii="宋体" w:hAnsi="宋体"/>
                <w:color w:val="auto"/>
                <w:szCs w:val="21"/>
                <w:highlight w:val="none"/>
              </w:rPr>
            </w:pPr>
          </w:p>
        </w:tc>
        <w:tc>
          <w:tcPr>
            <w:tcW w:w="1020" w:type="dxa"/>
          </w:tcPr>
          <w:p>
            <w:pPr>
              <w:spacing w:line="360" w:lineRule="auto"/>
              <w:rPr>
                <w:rFonts w:ascii="宋体" w:hAnsi="宋体"/>
                <w:color w:val="auto"/>
                <w:szCs w:val="21"/>
                <w:highlight w:val="none"/>
              </w:rPr>
            </w:pPr>
          </w:p>
        </w:tc>
        <w:tc>
          <w:tcPr>
            <w:tcW w:w="1480" w:type="dxa"/>
          </w:tcPr>
          <w:p>
            <w:pPr>
              <w:spacing w:line="360" w:lineRule="auto"/>
              <w:rPr>
                <w:rFonts w:ascii="宋体" w:hAnsi="宋体"/>
                <w:color w:val="auto"/>
                <w:szCs w:val="21"/>
                <w:highlight w:val="none"/>
              </w:rPr>
            </w:pPr>
          </w:p>
        </w:tc>
        <w:tc>
          <w:tcPr>
            <w:tcW w:w="1020" w:type="dxa"/>
          </w:tcPr>
          <w:p>
            <w:pPr>
              <w:spacing w:line="360" w:lineRule="auto"/>
              <w:rPr>
                <w:rFonts w:ascii="宋体" w:hAnsi="宋体"/>
                <w:color w:val="auto"/>
                <w:szCs w:val="21"/>
                <w:highlight w:val="none"/>
              </w:rPr>
            </w:pPr>
          </w:p>
        </w:tc>
        <w:tc>
          <w:tcPr>
            <w:tcW w:w="921" w:type="dxa"/>
          </w:tcPr>
          <w:p>
            <w:pPr>
              <w:spacing w:line="360" w:lineRule="auto"/>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418"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850"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058"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880"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020"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480"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020"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921"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360" w:lineRule="auto"/>
              <w:rPr>
                <w:rFonts w:ascii="宋体" w:hAnsi="宋体"/>
                <w:color w:val="auto"/>
                <w:szCs w:val="21"/>
                <w:highlight w:val="none"/>
              </w:rPr>
            </w:pPr>
          </w:p>
        </w:tc>
        <w:tc>
          <w:tcPr>
            <w:tcW w:w="1418" w:type="dxa"/>
          </w:tcPr>
          <w:p>
            <w:pPr>
              <w:spacing w:line="360" w:lineRule="auto"/>
              <w:rPr>
                <w:rFonts w:ascii="宋体" w:hAnsi="宋体"/>
                <w:color w:val="auto"/>
                <w:szCs w:val="21"/>
                <w:highlight w:val="none"/>
              </w:rPr>
            </w:pPr>
          </w:p>
        </w:tc>
        <w:tc>
          <w:tcPr>
            <w:tcW w:w="850" w:type="dxa"/>
          </w:tcPr>
          <w:p>
            <w:pPr>
              <w:spacing w:line="360" w:lineRule="auto"/>
              <w:rPr>
                <w:rFonts w:ascii="宋体" w:hAnsi="宋体"/>
                <w:color w:val="auto"/>
                <w:szCs w:val="21"/>
                <w:highlight w:val="none"/>
              </w:rPr>
            </w:pPr>
          </w:p>
        </w:tc>
        <w:tc>
          <w:tcPr>
            <w:tcW w:w="1058" w:type="dxa"/>
          </w:tcPr>
          <w:p>
            <w:pPr>
              <w:spacing w:line="360" w:lineRule="auto"/>
              <w:rPr>
                <w:rFonts w:ascii="宋体" w:hAnsi="宋体"/>
                <w:color w:val="auto"/>
                <w:szCs w:val="21"/>
                <w:highlight w:val="none"/>
              </w:rPr>
            </w:pPr>
          </w:p>
        </w:tc>
        <w:tc>
          <w:tcPr>
            <w:tcW w:w="880" w:type="dxa"/>
          </w:tcPr>
          <w:p>
            <w:pPr>
              <w:spacing w:line="360" w:lineRule="auto"/>
              <w:rPr>
                <w:rFonts w:ascii="宋体" w:hAnsi="宋体"/>
                <w:color w:val="auto"/>
                <w:szCs w:val="21"/>
                <w:highlight w:val="none"/>
              </w:rPr>
            </w:pPr>
          </w:p>
        </w:tc>
        <w:tc>
          <w:tcPr>
            <w:tcW w:w="1020" w:type="dxa"/>
          </w:tcPr>
          <w:p>
            <w:pPr>
              <w:spacing w:line="360" w:lineRule="auto"/>
              <w:rPr>
                <w:rFonts w:ascii="宋体" w:hAnsi="宋体"/>
                <w:color w:val="auto"/>
                <w:szCs w:val="21"/>
                <w:highlight w:val="none"/>
              </w:rPr>
            </w:pPr>
          </w:p>
        </w:tc>
        <w:tc>
          <w:tcPr>
            <w:tcW w:w="1480" w:type="dxa"/>
          </w:tcPr>
          <w:p>
            <w:pPr>
              <w:spacing w:line="360" w:lineRule="auto"/>
              <w:rPr>
                <w:rFonts w:ascii="宋体" w:hAnsi="宋体"/>
                <w:color w:val="auto"/>
                <w:szCs w:val="21"/>
                <w:highlight w:val="none"/>
              </w:rPr>
            </w:pPr>
          </w:p>
        </w:tc>
        <w:tc>
          <w:tcPr>
            <w:tcW w:w="1020" w:type="dxa"/>
          </w:tcPr>
          <w:p>
            <w:pPr>
              <w:spacing w:line="360" w:lineRule="auto"/>
              <w:rPr>
                <w:rFonts w:ascii="宋体" w:hAnsi="宋体"/>
                <w:color w:val="auto"/>
                <w:szCs w:val="21"/>
                <w:highlight w:val="none"/>
              </w:rPr>
            </w:pPr>
          </w:p>
        </w:tc>
        <w:tc>
          <w:tcPr>
            <w:tcW w:w="921" w:type="dxa"/>
          </w:tcPr>
          <w:p>
            <w:pPr>
              <w:spacing w:line="360" w:lineRule="auto"/>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360" w:lineRule="auto"/>
              <w:rPr>
                <w:rFonts w:ascii="宋体" w:hAnsi="宋体"/>
                <w:color w:val="auto"/>
                <w:szCs w:val="21"/>
                <w:highlight w:val="none"/>
              </w:rPr>
            </w:pPr>
          </w:p>
        </w:tc>
        <w:tc>
          <w:tcPr>
            <w:tcW w:w="1418" w:type="dxa"/>
          </w:tcPr>
          <w:p>
            <w:pPr>
              <w:spacing w:line="360" w:lineRule="auto"/>
              <w:rPr>
                <w:rFonts w:ascii="宋体" w:hAnsi="宋体"/>
                <w:color w:val="auto"/>
                <w:szCs w:val="21"/>
                <w:highlight w:val="none"/>
              </w:rPr>
            </w:pPr>
          </w:p>
        </w:tc>
        <w:tc>
          <w:tcPr>
            <w:tcW w:w="850" w:type="dxa"/>
          </w:tcPr>
          <w:p>
            <w:pPr>
              <w:spacing w:line="360" w:lineRule="auto"/>
              <w:rPr>
                <w:rFonts w:ascii="宋体" w:hAnsi="宋体"/>
                <w:color w:val="auto"/>
                <w:szCs w:val="21"/>
                <w:highlight w:val="none"/>
              </w:rPr>
            </w:pPr>
          </w:p>
        </w:tc>
        <w:tc>
          <w:tcPr>
            <w:tcW w:w="1058" w:type="dxa"/>
          </w:tcPr>
          <w:p>
            <w:pPr>
              <w:spacing w:line="360" w:lineRule="auto"/>
              <w:rPr>
                <w:rFonts w:ascii="宋体" w:hAnsi="宋体"/>
                <w:color w:val="auto"/>
                <w:szCs w:val="21"/>
                <w:highlight w:val="none"/>
              </w:rPr>
            </w:pPr>
          </w:p>
        </w:tc>
        <w:tc>
          <w:tcPr>
            <w:tcW w:w="880" w:type="dxa"/>
          </w:tcPr>
          <w:p>
            <w:pPr>
              <w:spacing w:line="360" w:lineRule="auto"/>
              <w:rPr>
                <w:rFonts w:ascii="宋体" w:hAnsi="宋体"/>
                <w:color w:val="auto"/>
                <w:szCs w:val="21"/>
                <w:highlight w:val="none"/>
              </w:rPr>
            </w:pPr>
          </w:p>
        </w:tc>
        <w:tc>
          <w:tcPr>
            <w:tcW w:w="1020" w:type="dxa"/>
          </w:tcPr>
          <w:p>
            <w:pPr>
              <w:spacing w:line="360" w:lineRule="auto"/>
              <w:rPr>
                <w:rFonts w:ascii="宋体" w:hAnsi="宋体"/>
                <w:color w:val="auto"/>
                <w:szCs w:val="21"/>
                <w:highlight w:val="none"/>
              </w:rPr>
            </w:pPr>
          </w:p>
        </w:tc>
        <w:tc>
          <w:tcPr>
            <w:tcW w:w="1480" w:type="dxa"/>
          </w:tcPr>
          <w:p>
            <w:pPr>
              <w:spacing w:line="360" w:lineRule="auto"/>
              <w:rPr>
                <w:rFonts w:ascii="宋体" w:hAnsi="宋体"/>
                <w:color w:val="auto"/>
                <w:szCs w:val="21"/>
                <w:highlight w:val="none"/>
              </w:rPr>
            </w:pPr>
          </w:p>
        </w:tc>
        <w:tc>
          <w:tcPr>
            <w:tcW w:w="1020" w:type="dxa"/>
          </w:tcPr>
          <w:p>
            <w:pPr>
              <w:spacing w:line="360" w:lineRule="auto"/>
              <w:rPr>
                <w:rFonts w:ascii="宋体" w:hAnsi="宋体"/>
                <w:color w:val="auto"/>
                <w:szCs w:val="21"/>
                <w:highlight w:val="none"/>
              </w:rPr>
            </w:pPr>
          </w:p>
        </w:tc>
        <w:tc>
          <w:tcPr>
            <w:tcW w:w="921" w:type="dxa"/>
          </w:tcPr>
          <w:p>
            <w:pPr>
              <w:spacing w:line="360" w:lineRule="auto"/>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360" w:lineRule="auto"/>
              <w:rPr>
                <w:rFonts w:ascii="宋体" w:hAnsi="宋体"/>
                <w:color w:val="auto"/>
                <w:szCs w:val="21"/>
                <w:highlight w:val="none"/>
              </w:rPr>
            </w:pPr>
          </w:p>
        </w:tc>
        <w:tc>
          <w:tcPr>
            <w:tcW w:w="1418" w:type="dxa"/>
          </w:tcPr>
          <w:p>
            <w:pPr>
              <w:spacing w:line="360" w:lineRule="auto"/>
              <w:rPr>
                <w:rFonts w:ascii="宋体" w:hAnsi="宋体"/>
                <w:color w:val="auto"/>
                <w:szCs w:val="21"/>
                <w:highlight w:val="none"/>
              </w:rPr>
            </w:pPr>
          </w:p>
        </w:tc>
        <w:tc>
          <w:tcPr>
            <w:tcW w:w="850" w:type="dxa"/>
          </w:tcPr>
          <w:p>
            <w:pPr>
              <w:spacing w:line="360" w:lineRule="auto"/>
              <w:rPr>
                <w:rFonts w:ascii="宋体" w:hAnsi="宋体"/>
                <w:color w:val="auto"/>
                <w:szCs w:val="21"/>
                <w:highlight w:val="none"/>
              </w:rPr>
            </w:pPr>
          </w:p>
        </w:tc>
        <w:tc>
          <w:tcPr>
            <w:tcW w:w="1058" w:type="dxa"/>
          </w:tcPr>
          <w:p>
            <w:pPr>
              <w:spacing w:line="360" w:lineRule="auto"/>
              <w:rPr>
                <w:rFonts w:ascii="宋体" w:hAnsi="宋体"/>
                <w:color w:val="auto"/>
                <w:szCs w:val="21"/>
                <w:highlight w:val="none"/>
              </w:rPr>
            </w:pPr>
          </w:p>
        </w:tc>
        <w:tc>
          <w:tcPr>
            <w:tcW w:w="880" w:type="dxa"/>
          </w:tcPr>
          <w:p>
            <w:pPr>
              <w:spacing w:line="360" w:lineRule="auto"/>
              <w:rPr>
                <w:rFonts w:ascii="宋体" w:hAnsi="宋体"/>
                <w:color w:val="auto"/>
                <w:szCs w:val="21"/>
                <w:highlight w:val="none"/>
              </w:rPr>
            </w:pPr>
          </w:p>
        </w:tc>
        <w:tc>
          <w:tcPr>
            <w:tcW w:w="1020" w:type="dxa"/>
          </w:tcPr>
          <w:p>
            <w:pPr>
              <w:spacing w:line="360" w:lineRule="auto"/>
              <w:rPr>
                <w:rFonts w:ascii="宋体" w:hAnsi="宋体"/>
                <w:color w:val="auto"/>
                <w:szCs w:val="21"/>
                <w:highlight w:val="none"/>
              </w:rPr>
            </w:pPr>
          </w:p>
        </w:tc>
        <w:tc>
          <w:tcPr>
            <w:tcW w:w="1480" w:type="dxa"/>
          </w:tcPr>
          <w:p>
            <w:pPr>
              <w:spacing w:line="360" w:lineRule="auto"/>
              <w:rPr>
                <w:rFonts w:ascii="宋体" w:hAnsi="宋体"/>
                <w:color w:val="auto"/>
                <w:szCs w:val="21"/>
                <w:highlight w:val="none"/>
              </w:rPr>
            </w:pPr>
          </w:p>
        </w:tc>
        <w:tc>
          <w:tcPr>
            <w:tcW w:w="1020" w:type="dxa"/>
          </w:tcPr>
          <w:p>
            <w:pPr>
              <w:spacing w:line="360" w:lineRule="auto"/>
              <w:rPr>
                <w:rFonts w:ascii="宋体" w:hAnsi="宋体"/>
                <w:color w:val="auto"/>
                <w:szCs w:val="21"/>
                <w:highlight w:val="none"/>
              </w:rPr>
            </w:pPr>
          </w:p>
        </w:tc>
        <w:tc>
          <w:tcPr>
            <w:tcW w:w="921" w:type="dxa"/>
          </w:tcPr>
          <w:p>
            <w:pPr>
              <w:spacing w:line="360" w:lineRule="auto"/>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360" w:lineRule="auto"/>
              <w:rPr>
                <w:rFonts w:ascii="宋体" w:hAnsi="宋体"/>
                <w:color w:val="auto"/>
                <w:szCs w:val="21"/>
                <w:highlight w:val="none"/>
              </w:rPr>
            </w:pPr>
          </w:p>
        </w:tc>
        <w:tc>
          <w:tcPr>
            <w:tcW w:w="1418" w:type="dxa"/>
          </w:tcPr>
          <w:p>
            <w:pPr>
              <w:spacing w:line="360" w:lineRule="auto"/>
              <w:rPr>
                <w:rFonts w:ascii="宋体" w:hAnsi="宋体"/>
                <w:color w:val="auto"/>
                <w:szCs w:val="21"/>
                <w:highlight w:val="none"/>
              </w:rPr>
            </w:pPr>
          </w:p>
        </w:tc>
        <w:tc>
          <w:tcPr>
            <w:tcW w:w="850" w:type="dxa"/>
          </w:tcPr>
          <w:p>
            <w:pPr>
              <w:spacing w:line="360" w:lineRule="auto"/>
              <w:rPr>
                <w:rFonts w:ascii="宋体" w:hAnsi="宋体"/>
                <w:color w:val="auto"/>
                <w:szCs w:val="21"/>
                <w:highlight w:val="none"/>
              </w:rPr>
            </w:pPr>
          </w:p>
        </w:tc>
        <w:tc>
          <w:tcPr>
            <w:tcW w:w="1058" w:type="dxa"/>
          </w:tcPr>
          <w:p>
            <w:pPr>
              <w:spacing w:line="360" w:lineRule="auto"/>
              <w:rPr>
                <w:rFonts w:ascii="宋体" w:hAnsi="宋体"/>
                <w:color w:val="auto"/>
                <w:szCs w:val="21"/>
                <w:highlight w:val="none"/>
              </w:rPr>
            </w:pPr>
          </w:p>
        </w:tc>
        <w:tc>
          <w:tcPr>
            <w:tcW w:w="880" w:type="dxa"/>
          </w:tcPr>
          <w:p>
            <w:pPr>
              <w:spacing w:line="360" w:lineRule="auto"/>
              <w:rPr>
                <w:rFonts w:ascii="宋体" w:hAnsi="宋体"/>
                <w:color w:val="auto"/>
                <w:szCs w:val="21"/>
                <w:highlight w:val="none"/>
              </w:rPr>
            </w:pPr>
          </w:p>
        </w:tc>
        <w:tc>
          <w:tcPr>
            <w:tcW w:w="1020" w:type="dxa"/>
          </w:tcPr>
          <w:p>
            <w:pPr>
              <w:spacing w:line="360" w:lineRule="auto"/>
              <w:rPr>
                <w:rFonts w:ascii="宋体" w:hAnsi="宋体"/>
                <w:color w:val="auto"/>
                <w:szCs w:val="21"/>
                <w:highlight w:val="none"/>
              </w:rPr>
            </w:pPr>
          </w:p>
        </w:tc>
        <w:tc>
          <w:tcPr>
            <w:tcW w:w="1480" w:type="dxa"/>
          </w:tcPr>
          <w:p>
            <w:pPr>
              <w:spacing w:line="360" w:lineRule="auto"/>
              <w:rPr>
                <w:rFonts w:ascii="宋体" w:hAnsi="宋体"/>
                <w:color w:val="auto"/>
                <w:szCs w:val="21"/>
                <w:highlight w:val="none"/>
              </w:rPr>
            </w:pPr>
          </w:p>
        </w:tc>
        <w:tc>
          <w:tcPr>
            <w:tcW w:w="1020" w:type="dxa"/>
          </w:tcPr>
          <w:p>
            <w:pPr>
              <w:spacing w:line="360" w:lineRule="auto"/>
              <w:rPr>
                <w:rFonts w:ascii="宋体" w:hAnsi="宋体"/>
                <w:color w:val="auto"/>
                <w:szCs w:val="21"/>
                <w:highlight w:val="none"/>
              </w:rPr>
            </w:pPr>
          </w:p>
        </w:tc>
        <w:tc>
          <w:tcPr>
            <w:tcW w:w="921" w:type="dxa"/>
          </w:tcPr>
          <w:p>
            <w:pPr>
              <w:spacing w:line="360" w:lineRule="auto"/>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360" w:lineRule="auto"/>
              <w:rPr>
                <w:rFonts w:ascii="宋体" w:hAnsi="宋体"/>
                <w:color w:val="auto"/>
                <w:szCs w:val="21"/>
                <w:highlight w:val="none"/>
              </w:rPr>
            </w:pPr>
          </w:p>
        </w:tc>
        <w:tc>
          <w:tcPr>
            <w:tcW w:w="1418" w:type="dxa"/>
          </w:tcPr>
          <w:p>
            <w:pPr>
              <w:spacing w:line="360" w:lineRule="auto"/>
              <w:rPr>
                <w:rFonts w:ascii="宋体" w:hAnsi="宋体"/>
                <w:color w:val="auto"/>
                <w:szCs w:val="21"/>
                <w:highlight w:val="none"/>
              </w:rPr>
            </w:pPr>
          </w:p>
        </w:tc>
        <w:tc>
          <w:tcPr>
            <w:tcW w:w="850" w:type="dxa"/>
          </w:tcPr>
          <w:p>
            <w:pPr>
              <w:spacing w:line="360" w:lineRule="auto"/>
              <w:rPr>
                <w:rFonts w:ascii="宋体" w:hAnsi="宋体"/>
                <w:color w:val="auto"/>
                <w:szCs w:val="21"/>
                <w:highlight w:val="none"/>
              </w:rPr>
            </w:pPr>
          </w:p>
        </w:tc>
        <w:tc>
          <w:tcPr>
            <w:tcW w:w="1058" w:type="dxa"/>
          </w:tcPr>
          <w:p>
            <w:pPr>
              <w:spacing w:line="360" w:lineRule="auto"/>
              <w:rPr>
                <w:rFonts w:ascii="宋体" w:hAnsi="宋体"/>
                <w:color w:val="auto"/>
                <w:szCs w:val="21"/>
                <w:highlight w:val="none"/>
              </w:rPr>
            </w:pPr>
          </w:p>
        </w:tc>
        <w:tc>
          <w:tcPr>
            <w:tcW w:w="880" w:type="dxa"/>
          </w:tcPr>
          <w:p>
            <w:pPr>
              <w:spacing w:line="360" w:lineRule="auto"/>
              <w:rPr>
                <w:rFonts w:ascii="宋体" w:hAnsi="宋体"/>
                <w:color w:val="auto"/>
                <w:szCs w:val="21"/>
                <w:highlight w:val="none"/>
              </w:rPr>
            </w:pPr>
          </w:p>
        </w:tc>
        <w:tc>
          <w:tcPr>
            <w:tcW w:w="1020" w:type="dxa"/>
          </w:tcPr>
          <w:p>
            <w:pPr>
              <w:spacing w:line="360" w:lineRule="auto"/>
              <w:rPr>
                <w:rFonts w:ascii="宋体" w:hAnsi="宋体"/>
                <w:color w:val="auto"/>
                <w:szCs w:val="21"/>
                <w:highlight w:val="none"/>
              </w:rPr>
            </w:pPr>
          </w:p>
        </w:tc>
        <w:tc>
          <w:tcPr>
            <w:tcW w:w="1480" w:type="dxa"/>
          </w:tcPr>
          <w:p>
            <w:pPr>
              <w:spacing w:line="360" w:lineRule="auto"/>
              <w:rPr>
                <w:rFonts w:ascii="宋体" w:hAnsi="宋体"/>
                <w:color w:val="auto"/>
                <w:szCs w:val="21"/>
                <w:highlight w:val="none"/>
              </w:rPr>
            </w:pPr>
          </w:p>
        </w:tc>
        <w:tc>
          <w:tcPr>
            <w:tcW w:w="1020" w:type="dxa"/>
          </w:tcPr>
          <w:p>
            <w:pPr>
              <w:spacing w:line="360" w:lineRule="auto"/>
              <w:rPr>
                <w:rFonts w:ascii="宋体" w:hAnsi="宋体"/>
                <w:color w:val="auto"/>
                <w:szCs w:val="21"/>
                <w:highlight w:val="none"/>
              </w:rPr>
            </w:pPr>
          </w:p>
        </w:tc>
        <w:tc>
          <w:tcPr>
            <w:tcW w:w="921" w:type="dxa"/>
          </w:tcPr>
          <w:p>
            <w:pPr>
              <w:spacing w:line="360" w:lineRule="auto"/>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360" w:lineRule="auto"/>
              <w:rPr>
                <w:rFonts w:ascii="宋体" w:hAnsi="宋体"/>
                <w:color w:val="auto"/>
                <w:szCs w:val="21"/>
                <w:highlight w:val="none"/>
              </w:rPr>
            </w:pPr>
          </w:p>
        </w:tc>
        <w:tc>
          <w:tcPr>
            <w:tcW w:w="1418" w:type="dxa"/>
          </w:tcPr>
          <w:p>
            <w:pPr>
              <w:spacing w:line="360" w:lineRule="auto"/>
              <w:rPr>
                <w:rFonts w:ascii="宋体" w:hAnsi="宋体"/>
                <w:color w:val="auto"/>
                <w:szCs w:val="21"/>
                <w:highlight w:val="none"/>
              </w:rPr>
            </w:pPr>
          </w:p>
        </w:tc>
        <w:tc>
          <w:tcPr>
            <w:tcW w:w="850" w:type="dxa"/>
          </w:tcPr>
          <w:p>
            <w:pPr>
              <w:spacing w:line="360" w:lineRule="auto"/>
              <w:rPr>
                <w:rFonts w:ascii="宋体" w:hAnsi="宋体"/>
                <w:color w:val="auto"/>
                <w:szCs w:val="21"/>
                <w:highlight w:val="none"/>
              </w:rPr>
            </w:pPr>
          </w:p>
        </w:tc>
        <w:tc>
          <w:tcPr>
            <w:tcW w:w="1058" w:type="dxa"/>
          </w:tcPr>
          <w:p>
            <w:pPr>
              <w:spacing w:line="360" w:lineRule="auto"/>
              <w:rPr>
                <w:rFonts w:ascii="宋体" w:hAnsi="宋体"/>
                <w:color w:val="auto"/>
                <w:szCs w:val="21"/>
                <w:highlight w:val="none"/>
              </w:rPr>
            </w:pPr>
          </w:p>
        </w:tc>
        <w:tc>
          <w:tcPr>
            <w:tcW w:w="880" w:type="dxa"/>
          </w:tcPr>
          <w:p>
            <w:pPr>
              <w:spacing w:line="360" w:lineRule="auto"/>
              <w:rPr>
                <w:rFonts w:ascii="宋体" w:hAnsi="宋体"/>
                <w:color w:val="auto"/>
                <w:szCs w:val="21"/>
                <w:highlight w:val="none"/>
              </w:rPr>
            </w:pPr>
          </w:p>
        </w:tc>
        <w:tc>
          <w:tcPr>
            <w:tcW w:w="1020" w:type="dxa"/>
          </w:tcPr>
          <w:p>
            <w:pPr>
              <w:spacing w:line="360" w:lineRule="auto"/>
              <w:rPr>
                <w:rFonts w:ascii="宋体" w:hAnsi="宋体"/>
                <w:color w:val="auto"/>
                <w:szCs w:val="21"/>
                <w:highlight w:val="none"/>
              </w:rPr>
            </w:pPr>
          </w:p>
        </w:tc>
        <w:tc>
          <w:tcPr>
            <w:tcW w:w="1480" w:type="dxa"/>
          </w:tcPr>
          <w:p>
            <w:pPr>
              <w:spacing w:line="360" w:lineRule="auto"/>
              <w:rPr>
                <w:rFonts w:ascii="宋体" w:hAnsi="宋体"/>
                <w:color w:val="auto"/>
                <w:szCs w:val="21"/>
                <w:highlight w:val="none"/>
              </w:rPr>
            </w:pPr>
          </w:p>
        </w:tc>
        <w:tc>
          <w:tcPr>
            <w:tcW w:w="1020" w:type="dxa"/>
          </w:tcPr>
          <w:p>
            <w:pPr>
              <w:spacing w:line="360" w:lineRule="auto"/>
              <w:rPr>
                <w:rFonts w:ascii="宋体" w:hAnsi="宋体"/>
                <w:color w:val="auto"/>
                <w:szCs w:val="21"/>
                <w:highlight w:val="none"/>
              </w:rPr>
            </w:pPr>
          </w:p>
        </w:tc>
        <w:tc>
          <w:tcPr>
            <w:tcW w:w="921" w:type="dxa"/>
          </w:tcPr>
          <w:p>
            <w:pPr>
              <w:spacing w:line="360" w:lineRule="auto"/>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360" w:lineRule="auto"/>
              <w:rPr>
                <w:rFonts w:ascii="宋体" w:hAnsi="宋体"/>
                <w:color w:val="auto"/>
                <w:szCs w:val="21"/>
                <w:highlight w:val="none"/>
              </w:rPr>
            </w:pPr>
          </w:p>
        </w:tc>
        <w:tc>
          <w:tcPr>
            <w:tcW w:w="1418" w:type="dxa"/>
          </w:tcPr>
          <w:p>
            <w:pPr>
              <w:spacing w:line="360" w:lineRule="auto"/>
              <w:rPr>
                <w:rFonts w:ascii="宋体" w:hAnsi="宋体"/>
                <w:color w:val="auto"/>
                <w:szCs w:val="21"/>
                <w:highlight w:val="none"/>
              </w:rPr>
            </w:pPr>
          </w:p>
        </w:tc>
        <w:tc>
          <w:tcPr>
            <w:tcW w:w="850" w:type="dxa"/>
          </w:tcPr>
          <w:p>
            <w:pPr>
              <w:spacing w:line="360" w:lineRule="auto"/>
              <w:rPr>
                <w:rFonts w:ascii="宋体" w:hAnsi="宋体"/>
                <w:color w:val="auto"/>
                <w:szCs w:val="21"/>
                <w:highlight w:val="none"/>
              </w:rPr>
            </w:pPr>
          </w:p>
        </w:tc>
        <w:tc>
          <w:tcPr>
            <w:tcW w:w="1058" w:type="dxa"/>
          </w:tcPr>
          <w:p>
            <w:pPr>
              <w:spacing w:line="360" w:lineRule="auto"/>
              <w:rPr>
                <w:rFonts w:ascii="宋体" w:hAnsi="宋体"/>
                <w:color w:val="auto"/>
                <w:szCs w:val="21"/>
                <w:highlight w:val="none"/>
              </w:rPr>
            </w:pPr>
          </w:p>
        </w:tc>
        <w:tc>
          <w:tcPr>
            <w:tcW w:w="880" w:type="dxa"/>
          </w:tcPr>
          <w:p>
            <w:pPr>
              <w:spacing w:line="360" w:lineRule="auto"/>
              <w:rPr>
                <w:rFonts w:ascii="宋体" w:hAnsi="宋体"/>
                <w:color w:val="auto"/>
                <w:szCs w:val="21"/>
                <w:highlight w:val="none"/>
              </w:rPr>
            </w:pPr>
          </w:p>
        </w:tc>
        <w:tc>
          <w:tcPr>
            <w:tcW w:w="1020" w:type="dxa"/>
          </w:tcPr>
          <w:p>
            <w:pPr>
              <w:spacing w:line="360" w:lineRule="auto"/>
              <w:rPr>
                <w:rFonts w:ascii="宋体" w:hAnsi="宋体"/>
                <w:color w:val="auto"/>
                <w:szCs w:val="21"/>
                <w:highlight w:val="none"/>
              </w:rPr>
            </w:pPr>
          </w:p>
        </w:tc>
        <w:tc>
          <w:tcPr>
            <w:tcW w:w="1480" w:type="dxa"/>
          </w:tcPr>
          <w:p>
            <w:pPr>
              <w:spacing w:line="360" w:lineRule="auto"/>
              <w:rPr>
                <w:rFonts w:ascii="宋体" w:hAnsi="宋体"/>
                <w:color w:val="auto"/>
                <w:szCs w:val="21"/>
                <w:highlight w:val="none"/>
              </w:rPr>
            </w:pPr>
          </w:p>
        </w:tc>
        <w:tc>
          <w:tcPr>
            <w:tcW w:w="1020" w:type="dxa"/>
          </w:tcPr>
          <w:p>
            <w:pPr>
              <w:spacing w:line="360" w:lineRule="auto"/>
              <w:rPr>
                <w:rFonts w:ascii="宋体" w:hAnsi="宋体"/>
                <w:color w:val="auto"/>
                <w:szCs w:val="21"/>
                <w:highlight w:val="none"/>
              </w:rPr>
            </w:pPr>
          </w:p>
        </w:tc>
        <w:tc>
          <w:tcPr>
            <w:tcW w:w="921" w:type="dxa"/>
          </w:tcPr>
          <w:p>
            <w:pPr>
              <w:spacing w:line="360" w:lineRule="auto"/>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360" w:lineRule="auto"/>
              <w:rPr>
                <w:rFonts w:ascii="宋体" w:hAnsi="宋体"/>
                <w:color w:val="auto"/>
                <w:szCs w:val="21"/>
                <w:highlight w:val="none"/>
              </w:rPr>
            </w:pPr>
          </w:p>
        </w:tc>
        <w:tc>
          <w:tcPr>
            <w:tcW w:w="1418" w:type="dxa"/>
          </w:tcPr>
          <w:p>
            <w:pPr>
              <w:spacing w:line="360" w:lineRule="auto"/>
              <w:rPr>
                <w:rFonts w:ascii="宋体" w:hAnsi="宋体"/>
                <w:color w:val="auto"/>
                <w:szCs w:val="21"/>
                <w:highlight w:val="none"/>
              </w:rPr>
            </w:pPr>
          </w:p>
        </w:tc>
        <w:tc>
          <w:tcPr>
            <w:tcW w:w="850" w:type="dxa"/>
          </w:tcPr>
          <w:p>
            <w:pPr>
              <w:spacing w:line="360" w:lineRule="auto"/>
              <w:rPr>
                <w:rFonts w:ascii="宋体" w:hAnsi="宋体"/>
                <w:color w:val="auto"/>
                <w:szCs w:val="21"/>
                <w:highlight w:val="none"/>
              </w:rPr>
            </w:pPr>
          </w:p>
        </w:tc>
        <w:tc>
          <w:tcPr>
            <w:tcW w:w="1058" w:type="dxa"/>
          </w:tcPr>
          <w:p>
            <w:pPr>
              <w:spacing w:line="360" w:lineRule="auto"/>
              <w:rPr>
                <w:rFonts w:ascii="宋体" w:hAnsi="宋体"/>
                <w:color w:val="auto"/>
                <w:szCs w:val="21"/>
                <w:highlight w:val="none"/>
              </w:rPr>
            </w:pPr>
          </w:p>
        </w:tc>
        <w:tc>
          <w:tcPr>
            <w:tcW w:w="880" w:type="dxa"/>
          </w:tcPr>
          <w:p>
            <w:pPr>
              <w:spacing w:line="360" w:lineRule="auto"/>
              <w:rPr>
                <w:rFonts w:ascii="宋体" w:hAnsi="宋体"/>
                <w:color w:val="auto"/>
                <w:szCs w:val="21"/>
                <w:highlight w:val="none"/>
              </w:rPr>
            </w:pPr>
          </w:p>
        </w:tc>
        <w:tc>
          <w:tcPr>
            <w:tcW w:w="1020" w:type="dxa"/>
          </w:tcPr>
          <w:p>
            <w:pPr>
              <w:spacing w:line="360" w:lineRule="auto"/>
              <w:rPr>
                <w:rFonts w:ascii="宋体" w:hAnsi="宋体"/>
                <w:color w:val="auto"/>
                <w:szCs w:val="21"/>
                <w:highlight w:val="none"/>
              </w:rPr>
            </w:pPr>
          </w:p>
        </w:tc>
        <w:tc>
          <w:tcPr>
            <w:tcW w:w="1480" w:type="dxa"/>
          </w:tcPr>
          <w:p>
            <w:pPr>
              <w:spacing w:line="360" w:lineRule="auto"/>
              <w:rPr>
                <w:rFonts w:ascii="宋体" w:hAnsi="宋体"/>
                <w:color w:val="auto"/>
                <w:szCs w:val="21"/>
                <w:highlight w:val="none"/>
              </w:rPr>
            </w:pPr>
          </w:p>
        </w:tc>
        <w:tc>
          <w:tcPr>
            <w:tcW w:w="1020" w:type="dxa"/>
          </w:tcPr>
          <w:p>
            <w:pPr>
              <w:spacing w:line="360" w:lineRule="auto"/>
              <w:rPr>
                <w:rFonts w:ascii="宋体" w:hAnsi="宋体"/>
                <w:color w:val="auto"/>
                <w:szCs w:val="21"/>
                <w:highlight w:val="none"/>
              </w:rPr>
            </w:pPr>
          </w:p>
        </w:tc>
        <w:tc>
          <w:tcPr>
            <w:tcW w:w="921" w:type="dxa"/>
          </w:tcPr>
          <w:p>
            <w:pPr>
              <w:spacing w:line="360" w:lineRule="auto"/>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360" w:lineRule="auto"/>
              <w:rPr>
                <w:rFonts w:ascii="宋体" w:hAnsi="宋体"/>
                <w:color w:val="auto"/>
                <w:szCs w:val="21"/>
                <w:highlight w:val="none"/>
              </w:rPr>
            </w:pPr>
          </w:p>
        </w:tc>
        <w:tc>
          <w:tcPr>
            <w:tcW w:w="1418" w:type="dxa"/>
          </w:tcPr>
          <w:p>
            <w:pPr>
              <w:spacing w:line="360" w:lineRule="auto"/>
              <w:rPr>
                <w:rFonts w:ascii="宋体" w:hAnsi="宋体"/>
                <w:color w:val="auto"/>
                <w:szCs w:val="21"/>
                <w:highlight w:val="none"/>
              </w:rPr>
            </w:pPr>
          </w:p>
        </w:tc>
        <w:tc>
          <w:tcPr>
            <w:tcW w:w="850" w:type="dxa"/>
          </w:tcPr>
          <w:p>
            <w:pPr>
              <w:spacing w:line="360" w:lineRule="auto"/>
              <w:rPr>
                <w:rFonts w:ascii="宋体" w:hAnsi="宋体"/>
                <w:color w:val="auto"/>
                <w:szCs w:val="21"/>
                <w:highlight w:val="none"/>
              </w:rPr>
            </w:pPr>
          </w:p>
        </w:tc>
        <w:tc>
          <w:tcPr>
            <w:tcW w:w="1058" w:type="dxa"/>
          </w:tcPr>
          <w:p>
            <w:pPr>
              <w:spacing w:line="360" w:lineRule="auto"/>
              <w:rPr>
                <w:rFonts w:ascii="宋体" w:hAnsi="宋体"/>
                <w:color w:val="auto"/>
                <w:szCs w:val="21"/>
                <w:highlight w:val="none"/>
              </w:rPr>
            </w:pPr>
          </w:p>
        </w:tc>
        <w:tc>
          <w:tcPr>
            <w:tcW w:w="880" w:type="dxa"/>
          </w:tcPr>
          <w:p>
            <w:pPr>
              <w:spacing w:line="360" w:lineRule="auto"/>
              <w:rPr>
                <w:rFonts w:ascii="宋体" w:hAnsi="宋体"/>
                <w:color w:val="auto"/>
                <w:szCs w:val="21"/>
                <w:highlight w:val="none"/>
              </w:rPr>
            </w:pPr>
          </w:p>
        </w:tc>
        <w:tc>
          <w:tcPr>
            <w:tcW w:w="1020" w:type="dxa"/>
          </w:tcPr>
          <w:p>
            <w:pPr>
              <w:spacing w:line="360" w:lineRule="auto"/>
              <w:rPr>
                <w:rFonts w:ascii="宋体" w:hAnsi="宋体"/>
                <w:color w:val="auto"/>
                <w:szCs w:val="21"/>
                <w:highlight w:val="none"/>
              </w:rPr>
            </w:pPr>
          </w:p>
        </w:tc>
        <w:tc>
          <w:tcPr>
            <w:tcW w:w="1480" w:type="dxa"/>
          </w:tcPr>
          <w:p>
            <w:pPr>
              <w:spacing w:line="360" w:lineRule="auto"/>
              <w:rPr>
                <w:rFonts w:ascii="宋体" w:hAnsi="宋体"/>
                <w:color w:val="auto"/>
                <w:szCs w:val="21"/>
                <w:highlight w:val="none"/>
              </w:rPr>
            </w:pPr>
          </w:p>
        </w:tc>
        <w:tc>
          <w:tcPr>
            <w:tcW w:w="1020" w:type="dxa"/>
          </w:tcPr>
          <w:p>
            <w:pPr>
              <w:spacing w:line="360" w:lineRule="auto"/>
              <w:rPr>
                <w:rFonts w:ascii="宋体" w:hAnsi="宋体"/>
                <w:color w:val="auto"/>
                <w:szCs w:val="21"/>
                <w:highlight w:val="none"/>
              </w:rPr>
            </w:pPr>
          </w:p>
        </w:tc>
        <w:tc>
          <w:tcPr>
            <w:tcW w:w="921" w:type="dxa"/>
          </w:tcPr>
          <w:p>
            <w:pPr>
              <w:spacing w:line="360" w:lineRule="auto"/>
              <w:rPr>
                <w:rFonts w:ascii="宋体" w:hAnsi="宋体"/>
                <w:color w:val="auto"/>
                <w:szCs w:val="21"/>
                <w:highlight w:val="none"/>
              </w:rPr>
            </w:pPr>
          </w:p>
        </w:tc>
      </w:tr>
    </w:tbl>
    <w:p>
      <w:pPr>
        <w:spacing w:line="360" w:lineRule="auto"/>
        <w:outlineLvl w:val="2"/>
        <w:rPr>
          <w:rFonts w:ascii="宋体" w:hAnsi="宋体"/>
          <w:color w:val="auto"/>
          <w:szCs w:val="21"/>
          <w:highlight w:val="none"/>
        </w:rPr>
      </w:pPr>
      <w:r>
        <w:rPr>
          <w:rFonts w:ascii="宋体" w:hAnsi="宋体"/>
          <w:color w:val="auto"/>
          <w:sz w:val="30"/>
          <w:szCs w:val="30"/>
          <w:highlight w:val="none"/>
        </w:rPr>
        <w:br w:type="page"/>
      </w:r>
      <w:r>
        <w:rPr>
          <w:rFonts w:ascii="宋体" w:hAnsi="宋体"/>
          <w:color w:val="auto"/>
          <w:szCs w:val="21"/>
          <w:highlight w:val="none"/>
        </w:rPr>
        <w:t>附件</w:t>
      </w:r>
      <w:r>
        <w:rPr>
          <w:rFonts w:hint="eastAsia" w:ascii="宋体" w:hAnsi="宋体"/>
          <w:color w:val="auto"/>
          <w:szCs w:val="21"/>
          <w:highlight w:val="none"/>
        </w:rPr>
        <w:t>3</w:t>
      </w:r>
      <w:r>
        <w:rPr>
          <w:rFonts w:ascii="宋体" w:hAnsi="宋体"/>
          <w:color w:val="auto"/>
          <w:szCs w:val="21"/>
          <w:highlight w:val="none"/>
        </w:rPr>
        <w:t>：承包人主要施工管理人员表</w:t>
      </w:r>
    </w:p>
    <w:p>
      <w:pPr>
        <w:spacing w:before="120" w:beforeLines="50" w:after="120" w:afterLines="50" w:line="360" w:lineRule="auto"/>
        <w:jc w:val="center"/>
        <w:rPr>
          <w:rFonts w:ascii="宋体" w:hAnsi="宋体"/>
          <w:color w:val="auto"/>
          <w:szCs w:val="21"/>
          <w:highlight w:val="none"/>
        </w:rPr>
      </w:pPr>
      <w:r>
        <w:rPr>
          <w:rFonts w:ascii="宋体" w:hAnsi="宋体"/>
          <w:color w:val="auto"/>
          <w:szCs w:val="21"/>
          <w:highlight w:val="none"/>
        </w:rPr>
        <w:t>承包人主要施工管理人员表</w:t>
      </w:r>
    </w:p>
    <w:tbl>
      <w:tblPr>
        <w:tblStyle w:val="4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r>
              <w:rPr>
                <w:rFonts w:ascii="宋体" w:hAnsi="宋体"/>
                <w:color w:val="auto"/>
                <w:szCs w:val="21"/>
                <w:highlight w:val="none"/>
              </w:rPr>
              <w:t>名    称</w:t>
            </w:r>
          </w:p>
        </w:tc>
        <w:tc>
          <w:tcPr>
            <w:tcW w:w="1418" w:type="dxa"/>
            <w:tcBorders>
              <w:top w:val="single" w:color="auto" w:sz="12" w:space="0"/>
              <w:bottom w:val="double" w:color="auto" w:sz="6" w:space="0"/>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r>
              <w:rPr>
                <w:rFonts w:ascii="宋体" w:hAnsi="宋体"/>
                <w:color w:val="auto"/>
                <w:szCs w:val="21"/>
                <w:highlight w:val="none"/>
              </w:rPr>
              <w:t>姓名</w:t>
            </w:r>
          </w:p>
        </w:tc>
        <w:tc>
          <w:tcPr>
            <w:tcW w:w="1134" w:type="dxa"/>
            <w:tcBorders>
              <w:top w:val="single" w:color="auto" w:sz="12" w:space="0"/>
              <w:bottom w:val="double" w:color="auto" w:sz="6" w:space="0"/>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r>
              <w:rPr>
                <w:rFonts w:ascii="宋体" w:hAnsi="宋体"/>
                <w:color w:val="auto"/>
                <w:szCs w:val="21"/>
                <w:highlight w:val="none"/>
              </w:rPr>
              <w:t>职务</w:t>
            </w:r>
          </w:p>
        </w:tc>
        <w:tc>
          <w:tcPr>
            <w:tcW w:w="1134" w:type="dxa"/>
            <w:tcBorders>
              <w:top w:val="single" w:color="auto" w:sz="12" w:space="0"/>
              <w:bottom w:val="double" w:color="auto" w:sz="6" w:space="0"/>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r>
              <w:rPr>
                <w:rFonts w:ascii="宋体" w:hAnsi="宋体"/>
                <w:color w:val="auto"/>
                <w:szCs w:val="21"/>
                <w:highlight w:val="none"/>
              </w:rPr>
              <w:t>职称</w:t>
            </w:r>
          </w:p>
        </w:tc>
        <w:tc>
          <w:tcPr>
            <w:tcW w:w="4252" w:type="dxa"/>
            <w:tcBorders>
              <w:top w:val="single" w:color="auto" w:sz="12" w:space="0"/>
              <w:bottom w:val="double" w:color="auto" w:sz="6" w:space="0"/>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r>
              <w:rPr>
                <w:rFonts w:ascii="宋体" w:hAnsi="宋体"/>
                <w:color w:val="auto"/>
                <w:szCs w:val="21"/>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r>
              <w:rPr>
                <w:rFonts w:ascii="宋体" w:hAnsi="宋体"/>
                <w:color w:val="auto"/>
                <w:szCs w:val="21"/>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r>
              <w:rPr>
                <w:rFonts w:ascii="宋体" w:hAnsi="宋体"/>
                <w:color w:val="auto"/>
                <w:szCs w:val="21"/>
                <w:highlight w:val="none"/>
              </w:rPr>
              <w:t>项目主管</w:t>
            </w:r>
          </w:p>
        </w:tc>
        <w:tc>
          <w:tcPr>
            <w:tcW w:w="1418" w:type="dxa"/>
            <w:tcBorders>
              <w:top w:val="nil"/>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134" w:type="dxa"/>
            <w:tcBorders>
              <w:top w:val="nil"/>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134" w:type="dxa"/>
            <w:tcBorders>
              <w:top w:val="nil"/>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4252" w:type="dxa"/>
            <w:tcBorders>
              <w:top w:val="nil"/>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r>
              <w:rPr>
                <w:rFonts w:ascii="宋体" w:hAnsi="宋体"/>
                <w:color w:val="auto"/>
                <w:szCs w:val="21"/>
                <w:highlight w:val="none"/>
              </w:rPr>
              <w:t>其他人员</w:t>
            </w:r>
          </w:p>
        </w:tc>
        <w:tc>
          <w:tcPr>
            <w:tcW w:w="1418"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134"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134"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4252"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418"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134"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134"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4252"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nil"/>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418"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134"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134"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4252"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r>
              <w:rPr>
                <w:rFonts w:ascii="宋体" w:hAnsi="宋体"/>
                <w:color w:val="auto"/>
                <w:szCs w:val="21"/>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r>
              <w:rPr>
                <w:rFonts w:ascii="宋体" w:hAnsi="宋体"/>
                <w:color w:val="auto"/>
                <w:szCs w:val="21"/>
                <w:highlight w:val="none"/>
              </w:rPr>
              <w:t>项目经理</w:t>
            </w:r>
          </w:p>
        </w:tc>
        <w:tc>
          <w:tcPr>
            <w:tcW w:w="1418"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134"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134"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4252"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r>
              <w:rPr>
                <w:rFonts w:ascii="宋体" w:hAnsi="宋体"/>
                <w:color w:val="auto"/>
                <w:szCs w:val="21"/>
                <w:highlight w:val="none"/>
              </w:rPr>
              <w:t>项目副经理</w:t>
            </w:r>
          </w:p>
        </w:tc>
        <w:tc>
          <w:tcPr>
            <w:tcW w:w="1418"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134"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134"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4252"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r>
              <w:rPr>
                <w:rFonts w:ascii="宋体" w:hAnsi="宋体"/>
                <w:color w:val="auto"/>
                <w:szCs w:val="21"/>
                <w:highlight w:val="none"/>
              </w:rPr>
              <w:t>技术负责人</w:t>
            </w:r>
          </w:p>
        </w:tc>
        <w:tc>
          <w:tcPr>
            <w:tcW w:w="1418"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134"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134"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4252"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r>
              <w:rPr>
                <w:rFonts w:ascii="宋体" w:hAnsi="宋体"/>
                <w:color w:val="auto"/>
                <w:szCs w:val="21"/>
                <w:highlight w:val="none"/>
              </w:rPr>
              <w:t>造价管理</w:t>
            </w:r>
          </w:p>
        </w:tc>
        <w:tc>
          <w:tcPr>
            <w:tcW w:w="1418"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134"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134"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4252"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r>
              <w:rPr>
                <w:rFonts w:ascii="宋体" w:hAnsi="宋体"/>
                <w:color w:val="auto"/>
                <w:szCs w:val="21"/>
                <w:highlight w:val="none"/>
              </w:rPr>
              <w:t>质量管理</w:t>
            </w:r>
          </w:p>
        </w:tc>
        <w:tc>
          <w:tcPr>
            <w:tcW w:w="1418"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134"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134"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4252"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r>
              <w:rPr>
                <w:rFonts w:ascii="宋体" w:hAnsi="宋体"/>
                <w:color w:val="auto"/>
                <w:szCs w:val="21"/>
                <w:highlight w:val="none"/>
              </w:rPr>
              <w:t>材料管理</w:t>
            </w:r>
          </w:p>
        </w:tc>
        <w:tc>
          <w:tcPr>
            <w:tcW w:w="1418"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134"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134"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4252"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r>
              <w:rPr>
                <w:rFonts w:ascii="宋体" w:hAnsi="宋体"/>
                <w:color w:val="auto"/>
                <w:szCs w:val="21"/>
                <w:highlight w:val="none"/>
              </w:rPr>
              <w:t>计划管理</w:t>
            </w:r>
          </w:p>
        </w:tc>
        <w:tc>
          <w:tcPr>
            <w:tcW w:w="1418"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134"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134"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4252"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r>
              <w:rPr>
                <w:rFonts w:ascii="宋体" w:hAnsi="宋体"/>
                <w:color w:val="auto"/>
                <w:szCs w:val="21"/>
                <w:highlight w:val="none"/>
              </w:rPr>
              <w:t>安全管理</w:t>
            </w:r>
          </w:p>
        </w:tc>
        <w:tc>
          <w:tcPr>
            <w:tcW w:w="1418"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134"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134"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4252"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r>
              <w:rPr>
                <w:rFonts w:ascii="宋体" w:hAnsi="宋体"/>
                <w:color w:val="auto"/>
                <w:szCs w:val="21"/>
                <w:highlight w:val="none"/>
              </w:rPr>
              <w:t>其他人员</w:t>
            </w:r>
          </w:p>
        </w:tc>
        <w:tc>
          <w:tcPr>
            <w:tcW w:w="1418"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134"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134"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4252"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418" w:type="dxa"/>
            <w:tcBorders>
              <w:bottom w:val="nil"/>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134" w:type="dxa"/>
            <w:tcBorders>
              <w:bottom w:val="nil"/>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134" w:type="dxa"/>
            <w:tcBorders>
              <w:bottom w:val="nil"/>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4252" w:type="dxa"/>
            <w:tcBorders>
              <w:bottom w:val="nil"/>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418"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134"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134"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4252"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418"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134"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134"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4252"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418"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134"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134"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4252" w:type="dxa"/>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418" w:type="dxa"/>
            <w:tcBorders>
              <w:bottom w:val="single" w:color="auto" w:sz="12" w:space="0"/>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134" w:type="dxa"/>
            <w:tcBorders>
              <w:bottom w:val="single" w:color="auto" w:sz="12" w:space="0"/>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1134" w:type="dxa"/>
            <w:tcBorders>
              <w:bottom w:val="single" w:color="auto" w:sz="12" w:space="0"/>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c>
          <w:tcPr>
            <w:tcW w:w="4252" w:type="dxa"/>
            <w:tcBorders>
              <w:bottom w:val="single" w:color="auto" w:sz="12" w:space="0"/>
            </w:tcBorders>
            <w:vAlign w:val="center"/>
          </w:tcPr>
          <w:p>
            <w:pPr>
              <w:adjustRightInd w:val="0"/>
              <w:spacing w:line="360" w:lineRule="auto"/>
              <w:ind w:left="63" w:leftChars="30" w:right="63" w:rightChars="30"/>
              <w:jc w:val="center"/>
              <w:textAlignment w:val="baseline"/>
              <w:rPr>
                <w:rFonts w:ascii="宋体" w:hAnsi="宋体"/>
                <w:color w:val="auto"/>
                <w:szCs w:val="21"/>
                <w:highlight w:val="none"/>
              </w:rPr>
            </w:pPr>
          </w:p>
        </w:tc>
      </w:tr>
    </w:tbl>
    <w:p>
      <w:pPr>
        <w:widowControl/>
        <w:jc w:val="left"/>
        <w:rPr>
          <w:rFonts w:ascii="宋体" w:hAnsi="宋体"/>
          <w:color w:val="auto"/>
          <w:szCs w:val="21"/>
          <w:highlight w:val="none"/>
        </w:rPr>
      </w:pPr>
      <w:r>
        <w:rPr>
          <w:rFonts w:ascii="宋体" w:hAnsi="宋体"/>
          <w:color w:val="auto"/>
          <w:szCs w:val="21"/>
          <w:highlight w:val="none"/>
        </w:rPr>
        <w:br w:type="page"/>
      </w:r>
    </w:p>
    <w:p>
      <w:pPr>
        <w:spacing w:line="360" w:lineRule="auto"/>
        <w:outlineLvl w:val="2"/>
        <w:rPr>
          <w:rFonts w:ascii="宋体" w:hAnsi="宋体"/>
          <w:color w:val="auto"/>
          <w:szCs w:val="21"/>
          <w:highlight w:val="none"/>
        </w:rPr>
      </w:pPr>
      <w:r>
        <w:rPr>
          <w:rFonts w:hint="eastAsia" w:ascii="宋体" w:hAnsi="宋体"/>
          <w:color w:val="auto"/>
          <w:szCs w:val="21"/>
          <w:highlight w:val="none"/>
        </w:rPr>
        <w:t>附件4：廉政责任书格式</w:t>
      </w:r>
    </w:p>
    <w:p>
      <w:pPr>
        <w:spacing w:before="120" w:beforeLines="50" w:after="120" w:afterLines="50" w:line="360" w:lineRule="auto"/>
        <w:jc w:val="center"/>
        <w:rPr>
          <w:rFonts w:ascii="宋体" w:hAnsi="宋体"/>
          <w:color w:val="auto"/>
          <w:szCs w:val="21"/>
          <w:highlight w:val="none"/>
        </w:rPr>
      </w:pPr>
      <w:r>
        <w:rPr>
          <w:rFonts w:hint="eastAsia" w:ascii="宋体" w:hAnsi="宋体"/>
          <w:color w:val="auto"/>
          <w:szCs w:val="21"/>
          <w:highlight w:val="none"/>
        </w:rPr>
        <w:t>建设工程廉政责任书</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一、双方的责任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1.1应严格遵守国家关于建设工程的有关法律、法规，相关政策，以及廉政建设的各项规定。</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1.2严格执行建设工程合同文件，自觉按合同办事。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1.3各项活动必须坚持公开、公平、公正、诚信、透明的原则(除法律法规另有规定者外)，不得为获取不正当的利益，损害国家、集体和对方利益，不得违反建设工程管理的规章制度。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1.4发现对方在业务活动中有违规、违纪、违法行为的，应及时提醒对方，情节严重的，应向其上级主管部门或纪检监察、司法等有关机关举报。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二、发包人责任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发包人的领导和从事该建设工程项目的工作人员，在工程建设的事前、事中、事后应遵守以下规定：</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2.1不得向承包人和相关单位索要或接受回扣、礼金、有价证券、贵重物品和好处费、感谢费等。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2.2不得在承包人和相关单位报销任何应由发包人或个人支付的费用。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2.3不得要求、暗示或接受承包人和相关单位为个人装修住房、婚丧嫁娶、配偶子女的工作安排以及出国(境)、旅游等提供方便。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2.4不得参加有可能影响公正执行公务的承包人和相关单位的宴请、健身、娱乐等活动。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2.5不得向承包人和相关单位介绍或为配偶、子女、亲属参与同发包人工程建设管理合同有关的业务活动；不得以任何理由要求承包人和相关单位使用某种产品、材料和设备。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三、承包人责任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应与发包人保持正常的业务交往，按照有关法律法规和程序开展业务工作，严格执行工程建设的有关方针、政策，执行工程建设强制性标准，并遵守以下规定：</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3.1不得以任何理由向发包人及其工作人员索要、接受或赠送礼金、有价证券、贵重物品及回扣、好处费、感谢费等。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3.2不得以任何理由为发包人和相关单位报销应由对方或个人支付的费用。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3.3不得接受或暗示为发包人、相关单位或个人装修住房、婚丧嫁娶、配偶子女的工作安排以及出国(境)、旅游等提供方便。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3.4不得以任何理由为发包人、相关单位或个人组织有可能影响公正执行公务的宴请、健身、娱乐等活动。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四、违约责任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4.1发包人工作人员有违反本责任书第一、二条责任行为的，依据有关法律、法规给予处理；涉嫌犯罪的，移交司法机关追究刑事责任；给承包人单位造成经济损失的，应予以赔偿。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4.2承包人工作人员有违反本责任书第一、三条责任行为的，依据有关法律法规处理；涉嫌犯罪的，移交司法机关追究刑事责任；给发包人单位造成经济损失的，应予以赔偿。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4.3本责任书作为建设工程合同的组成部分，与建设工程合同具有同等法律效力。经双方签署后立即生效。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五、责任书有效期</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本责任书的有效期为双方签署之日起至该工程项目竣工验收合格时止。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六、责任书份数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本责任书一式二份，发包人承包人各执一份，具有同等效力。</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w:t>
      </w:r>
      <w:r>
        <w:rPr>
          <w:rFonts w:hint="eastAsia" w:ascii="宋体" w:hAnsi="宋体"/>
          <w:color w:val="auto"/>
          <w:szCs w:val="21"/>
          <w:highlight w:val="none"/>
          <w:u w:val="single"/>
        </w:rPr>
        <w:t xml:space="preserve">              </w:t>
      </w:r>
      <w:r>
        <w:rPr>
          <w:rFonts w:hint="eastAsia" w:ascii="宋体" w:hAnsi="宋体"/>
          <w:color w:val="auto"/>
          <w:szCs w:val="21"/>
          <w:highlight w:val="none"/>
        </w:rPr>
        <w:t>(单位公章)       承包人：</w:t>
      </w:r>
      <w:r>
        <w:rPr>
          <w:rFonts w:hint="eastAsia" w:ascii="宋体" w:hAnsi="宋体"/>
          <w:color w:val="auto"/>
          <w:szCs w:val="21"/>
          <w:highlight w:val="none"/>
          <w:u w:val="single"/>
        </w:rPr>
        <w:t xml:space="preserve">                </w:t>
      </w:r>
      <w:r>
        <w:rPr>
          <w:rFonts w:hint="eastAsia" w:ascii="宋体" w:hAnsi="宋体"/>
          <w:color w:val="auto"/>
          <w:szCs w:val="21"/>
          <w:highlight w:val="none"/>
        </w:rPr>
        <w:t>(单位公章)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法定地址：</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法定地址：</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法定代表人或其                         法定代表人或其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     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电话：</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传真：</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电子邮箱：</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电子邮箱：</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账号：</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邮政编码：</w:t>
      </w:r>
      <w:r>
        <w:rPr>
          <w:rFonts w:hint="eastAsia" w:ascii="宋体" w:hAnsi="宋体"/>
          <w:color w:val="auto"/>
          <w:szCs w:val="21"/>
          <w:highlight w:val="none"/>
          <w:u w:val="single"/>
        </w:rPr>
        <w:t xml:space="preserve">                   </w:t>
      </w:r>
    </w:p>
    <w:p>
      <w:pPr>
        <w:spacing w:line="360" w:lineRule="auto"/>
        <w:outlineLvl w:val="2"/>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附件5：安全生产责任协议书格式</w:t>
      </w:r>
    </w:p>
    <w:p>
      <w:pPr>
        <w:spacing w:before="120" w:beforeLines="50" w:after="120" w:afterLines="50" w:line="360" w:lineRule="auto"/>
        <w:jc w:val="center"/>
        <w:rPr>
          <w:rFonts w:ascii="宋体" w:hAnsi="宋体"/>
          <w:color w:val="auto"/>
          <w:szCs w:val="21"/>
          <w:highlight w:val="none"/>
        </w:rPr>
      </w:pPr>
      <w:r>
        <w:rPr>
          <w:rFonts w:hint="eastAsia" w:ascii="宋体" w:hAnsi="宋体"/>
          <w:color w:val="auto"/>
          <w:szCs w:val="21"/>
          <w:highlight w:val="none"/>
        </w:rPr>
        <w:t>安全生产责任协议书</w:t>
      </w:r>
    </w:p>
    <w:p>
      <w:pPr>
        <w:snapToGrid w:val="0"/>
        <w:spacing w:line="360" w:lineRule="auto"/>
        <w:ind w:firstLine="482"/>
        <w:rPr>
          <w:rFonts w:ascii="宋体" w:hAnsi="宋体"/>
          <w:color w:val="auto"/>
          <w:szCs w:val="21"/>
          <w:highlight w:val="none"/>
        </w:rPr>
      </w:pPr>
      <w:r>
        <w:rPr>
          <w:rFonts w:ascii="宋体" w:hAnsi="宋体"/>
          <w:color w:val="auto"/>
          <w:szCs w:val="21"/>
          <w:highlight w:val="none"/>
        </w:rPr>
        <w:t>为落实安全生产的管理要求，确保工程建设的顺利进行，经甲乙双方共同协商，同意明确如下协议：</w:t>
      </w:r>
    </w:p>
    <w:p>
      <w:pPr>
        <w:snapToGrid w:val="0"/>
        <w:spacing w:line="360" w:lineRule="auto"/>
        <w:ind w:firstLine="482"/>
        <w:rPr>
          <w:rFonts w:ascii="宋体" w:hAnsi="宋体"/>
          <w:color w:val="auto"/>
          <w:szCs w:val="21"/>
          <w:highlight w:val="none"/>
        </w:rPr>
      </w:pPr>
      <w:r>
        <w:rPr>
          <w:rFonts w:ascii="宋体" w:hAnsi="宋体"/>
          <w:color w:val="auto"/>
          <w:szCs w:val="21"/>
          <w:highlight w:val="none"/>
        </w:rPr>
        <w:t>一、发包人在施工开始前向承包人提交必要的施工场地，明确承包人安全生产管理的责任区域和要求，承包人负责施工现场的安全管理工作，是施工现场安全管理的责任单位。承包人必须建立安全生产保证体系，其相关文件报发包人备案。</w:t>
      </w:r>
    </w:p>
    <w:p>
      <w:pPr>
        <w:snapToGrid w:val="0"/>
        <w:spacing w:line="360" w:lineRule="auto"/>
        <w:ind w:firstLine="482"/>
        <w:rPr>
          <w:rFonts w:ascii="宋体" w:hAnsi="宋体"/>
          <w:color w:val="auto"/>
          <w:szCs w:val="21"/>
          <w:highlight w:val="none"/>
        </w:rPr>
      </w:pPr>
      <w:r>
        <w:rPr>
          <w:rFonts w:ascii="宋体" w:hAnsi="宋体"/>
          <w:color w:val="auto"/>
          <w:szCs w:val="21"/>
          <w:highlight w:val="none"/>
        </w:rPr>
        <w:t>二、发包人应积极组织和督促承包人开展安全达标活动</w:t>
      </w:r>
      <w:r>
        <w:rPr>
          <w:rFonts w:hint="eastAsia" w:ascii="宋体" w:hAnsi="宋体"/>
          <w:color w:val="auto"/>
          <w:szCs w:val="21"/>
          <w:highlight w:val="none"/>
        </w:rPr>
        <w:t>，</w:t>
      </w:r>
      <w:r>
        <w:rPr>
          <w:rFonts w:ascii="宋体" w:hAnsi="宋体"/>
          <w:color w:val="auto"/>
          <w:szCs w:val="21"/>
          <w:highlight w:val="none"/>
        </w:rPr>
        <w:t>及时传达和部署上级的有关安全生产精神和要求，定期听取承包人的意见和要求</w:t>
      </w:r>
      <w:r>
        <w:rPr>
          <w:rFonts w:hint="eastAsia" w:ascii="宋体" w:hAnsi="宋体"/>
          <w:color w:val="auto"/>
          <w:szCs w:val="21"/>
          <w:highlight w:val="none"/>
        </w:rPr>
        <w:t>，</w:t>
      </w:r>
      <w:r>
        <w:rPr>
          <w:rFonts w:ascii="宋体" w:hAnsi="宋体"/>
          <w:color w:val="auto"/>
          <w:szCs w:val="21"/>
          <w:highlight w:val="none"/>
        </w:rPr>
        <w:t>加强安全生产的指导和协调。</w:t>
      </w:r>
    </w:p>
    <w:p>
      <w:pPr>
        <w:snapToGrid w:val="0"/>
        <w:spacing w:line="360" w:lineRule="auto"/>
        <w:ind w:firstLine="482"/>
        <w:rPr>
          <w:rFonts w:ascii="宋体" w:hAnsi="宋体"/>
          <w:color w:val="auto"/>
          <w:szCs w:val="21"/>
          <w:highlight w:val="none"/>
        </w:rPr>
      </w:pPr>
      <w:r>
        <w:rPr>
          <w:rFonts w:ascii="宋体" w:hAnsi="宋体"/>
          <w:color w:val="auto"/>
          <w:szCs w:val="21"/>
          <w:highlight w:val="none"/>
        </w:rPr>
        <w:t>三、发包人负责组织对承包人安全规范作业、文明施工情况的检查，定期组织考核；对承包人及有关人员在安全生产工作中有突出贡献或成绩显著的集体、个人应给予表彰和物资奖励。对承包人及有关人员发生的违章、违法行为和存在的问题以及在安全生产、文明等创优达标活动中不积极配合的，发包人有权制止教育、责成其限期整改</w:t>
      </w:r>
      <w:r>
        <w:rPr>
          <w:rFonts w:hint="eastAsia" w:ascii="宋体" w:hAnsi="宋体"/>
          <w:color w:val="auto"/>
          <w:szCs w:val="21"/>
          <w:highlight w:val="none"/>
        </w:rPr>
        <w:t>，</w:t>
      </w:r>
      <w:r>
        <w:rPr>
          <w:rFonts w:ascii="宋体" w:hAnsi="宋体"/>
          <w:color w:val="auto"/>
          <w:szCs w:val="21"/>
          <w:highlight w:val="none"/>
        </w:rPr>
        <w:t>对责任单位每次处罚500</w:t>
      </w:r>
      <w:r>
        <w:rPr>
          <w:rFonts w:hint="eastAsia" w:ascii="宋体" w:hAnsi="宋体"/>
          <w:color w:val="auto"/>
          <w:szCs w:val="21"/>
          <w:highlight w:val="none"/>
        </w:rPr>
        <w:t>至</w:t>
      </w:r>
      <w:r>
        <w:rPr>
          <w:rFonts w:ascii="宋体" w:hAnsi="宋体"/>
          <w:color w:val="auto"/>
          <w:szCs w:val="21"/>
          <w:highlight w:val="none"/>
        </w:rPr>
        <w:t>5000元</w:t>
      </w:r>
      <w:r>
        <w:rPr>
          <w:rFonts w:hint="eastAsia" w:ascii="宋体" w:hAnsi="宋体"/>
          <w:color w:val="auto"/>
          <w:szCs w:val="21"/>
          <w:highlight w:val="none"/>
        </w:rPr>
        <w:t>，</w:t>
      </w:r>
      <w:r>
        <w:rPr>
          <w:rFonts w:ascii="宋体" w:hAnsi="宋体"/>
          <w:color w:val="auto"/>
          <w:szCs w:val="21"/>
          <w:highlight w:val="none"/>
        </w:rPr>
        <w:t>对未按要求限期整改的或整改不力、情节严重的，对责任单位每次处罚1万</w:t>
      </w:r>
      <w:r>
        <w:rPr>
          <w:rFonts w:hint="eastAsia" w:ascii="宋体" w:hAnsi="宋体"/>
          <w:color w:val="auto"/>
          <w:szCs w:val="21"/>
          <w:highlight w:val="none"/>
        </w:rPr>
        <w:t>至</w:t>
      </w:r>
      <w:r>
        <w:rPr>
          <w:rFonts w:ascii="宋体" w:hAnsi="宋体"/>
          <w:color w:val="auto"/>
          <w:szCs w:val="21"/>
          <w:highlight w:val="none"/>
        </w:rPr>
        <w:t>5万元。</w:t>
      </w:r>
    </w:p>
    <w:p>
      <w:pPr>
        <w:snapToGrid w:val="0"/>
        <w:spacing w:line="360" w:lineRule="auto"/>
        <w:ind w:firstLine="482"/>
        <w:rPr>
          <w:rFonts w:ascii="宋体" w:hAnsi="宋体"/>
          <w:color w:val="auto"/>
          <w:szCs w:val="21"/>
          <w:highlight w:val="none"/>
        </w:rPr>
      </w:pPr>
      <w:r>
        <w:rPr>
          <w:rFonts w:ascii="宋体" w:hAnsi="宋体"/>
          <w:color w:val="auto"/>
          <w:szCs w:val="21"/>
          <w:highlight w:val="none"/>
        </w:rPr>
        <w:t>四、凡工地内发生生产事故或重大人员伤亡的，发包人派员参与劳动行政部门、司法机关调查处理。发包人可按其造成的后果及影响，对责任单位以按责任违约给予一次性经济处理</w:t>
      </w:r>
      <w:r>
        <w:rPr>
          <w:rFonts w:hint="eastAsia" w:ascii="宋体" w:hAnsi="宋体"/>
          <w:color w:val="auto"/>
          <w:szCs w:val="21"/>
          <w:highlight w:val="none"/>
        </w:rPr>
        <w:t>，</w:t>
      </w:r>
      <w:r>
        <w:rPr>
          <w:rFonts w:ascii="宋体" w:hAnsi="宋体"/>
          <w:color w:val="auto"/>
          <w:szCs w:val="21"/>
          <w:highlight w:val="none"/>
        </w:rPr>
        <w:t>责任违约的经济处理按《发包工程安全抵押金实施细则》（见附件）扣除。事故造成的经济损失及因承包人责任给发包人造成的连带经济损失全部由承包人承担。</w:t>
      </w:r>
    </w:p>
    <w:p>
      <w:pPr>
        <w:snapToGrid w:val="0"/>
        <w:spacing w:line="360" w:lineRule="auto"/>
        <w:ind w:firstLine="482"/>
        <w:rPr>
          <w:rFonts w:ascii="宋体" w:hAnsi="宋体"/>
          <w:color w:val="auto"/>
          <w:szCs w:val="21"/>
          <w:highlight w:val="none"/>
        </w:rPr>
      </w:pPr>
      <w:r>
        <w:rPr>
          <w:rFonts w:ascii="宋体" w:hAnsi="宋体"/>
          <w:color w:val="auto"/>
          <w:szCs w:val="21"/>
          <w:highlight w:val="none"/>
        </w:rPr>
        <w:t>五、承包人要严格贯彻执行国家和本市颁发的有关安全生产的法律、法规</w:t>
      </w:r>
      <w:r>
        <w:rPr>
          <w:rFonts w:hint="eastAsia" w:ascii="宋体" w:hAnsi="宋体"/>
          <w:color w:val="auto"/>
          <w:szCs w:val="21"/>
          <w:highlight w:val="none"/>
        </w:rPr>
        <w:t>，</w:t>
      </w:r>
      <w:r>
        <w:rPr>
          <w:rFonts w:ascii="宋体" w:hAnsi="宋体"/>
          <w:color w:val="auto"/>
          <w:szCs w:val="21"/>
          <w:highlight w:val="none"/>
        </w:rPr>
        <w:t>严格按照 “关于发布行业标准《建筑施工安全检查标准》的通知”(编号JGJ59-20</w:t>
      </w:r>
      <w:r>
        <w:rPr>
          <w:rFonts w:hint="eastAsia" w:ascii="宋体" w:hAnsi="宋体"/>
          <w:color w:val="auto"/>
          <w:szCs w:val="21"/>
          <w:highlight w:val="none"/>
        </w:rPr>
        <w:t>11</w:t>
      </w:r>
      <w:r>
        <w:rPr>
          <w:rFonts w:ascii="宋体" w:hAnsi="宋体"/>
          <w:color w:val="auto"/>
          <w:szCs w:val="21"/>
          <w:highlight w:val="none"/>
        </w:rPr>
        <w:t>)的要求加强内部安全管理，落实各项安全防护措施，确保工程建设中不发生重大伤亡事故。</w:t>
      </w:r>
    </w:p>
    <w:p>
      <w:pPr>
        <w:snapToGrid w:val="0"/>
        <w:spacing w:line="360" w:lineRule="auto"/>
        <w:ind w:firstLine="482"/>
        <w:rPr>
          <w:rFonts w:ascii="宋体" w:hAnsi="宋体"/>
          <w:color w:val="auto"/>
          <w:szCs w:val="21"/>
          <w:highlight w:val="none"/>
        </w:rPr>
      </w:pPr>
      <w:r>
        <w:rPr>
          <w:rFonts w:ascii="宋体" w:hAnsi="宋体"/>
          <w:color w:val="auto"/>
          <w:szCs w:val="21"/>
          <w:highlight w:val="none"/>
        </w:rPr>
        <w:t>六、承包人要按照安全作业规范针对本工程项目的特点、性质、规模以及施工现场条件编制施工组织设计和施工方案，制定和组织落实各项的施工安全技术措施，并向全体施工人员进行安全技术交底</w:t>
      </w:r>
      <w:r>
        <w:rPr>
          <w:rFonts w:hint="eastAsia" w:ascii="宋体" w:hAnsi="宋体"/>
          <w:color w:val="auto"/>
          <w:szCs w:val="21"/>
          <w:highlight w:val="none"/>
        </w:rPr>
        <w:t>，</w:t>
      </w:r>
      <w:r>
        <w:rPr>
          <w:rFonts w:ascii="宋体" w:hAnsi="宋体"/>
          <w:color w:val="auto"/>
          <w:szCs w:val="21"/>
          <w:highlight w:val="none"/>
        </w:rPr>
        <w:t>严格按照施工组织设计和有关安全要求施工</w:t>
      </w:r>
      <w:r>
        <w:rPr>
          <w:rFonts w:hint="eastAsia" w:ascii="宋体" w:hAnsi="宋体"/>
          <w:color w:val="auto"/>
          <w:szCs w:val="21"/>
          <w:highlight w:val="none"/>
        </w:rPr>
        <w:t>。</w:t>
      </w:r>
      <w:r>
        <w:rPr>
          <w:rFonts w:ascii="宋体" w:hAnsi="宋体"/>
          <w:color w:val="auto"/>
          <w:szCs w:val="21"/>
          <w:highlight w:val="none"/>
        </w:rPr>
        <w:t>深基坑开挖必须按科技委审查批准的方案实施。</w:t>
      </w:r>
    </w:p>
    <w:p>
      <w:pPr>
        <w:snapToGrid w:val="0"/>
        <w:spacing w:line="360" w:lineRule="auto"/>
        <w:ind w:firstLine="482"/>
        <w:rPr>
          <w:rFonts w:ascii="宋体" w:hAnsi="宋体"/>
          <w:color w:val="auto"/>
          <w:szCs w:val="21"/>
          <w:highlight w:val="none"/>
        </w:rPr>
      </w:pPr>
      <w:r>
        <w:rPr>
          <w:rFonts w:ascii="宋体" w:hAnsi="宋体"/>
          <w:color w:val="auto"/>
          <w:szCs w:val="21"/>
          <w:highlight w:val="none"/>
        </w:rPr>
        <w:t>七、承包人进入工地后应明确落实施工现场安全生产第一责任人</w:t>
      </w:r>
      <w:r>
        <w:rPr>
          <w:rFonts w:hint="eastAsia" w:ascii="宋体" w:hAnsi="宋体"/>
          <w:color w:val="auto"/>
          <w:szCs w:val="21"/>
          <w:highlight w:val="none"/>
        </w:rPr>
        <w:t>，</w:t>
      </w:r>
      <w:r>
        <w:rPr>
          <w:rFonts w:ascii="宋体" w:hAnsi="宋体"/>
          <w:color w:val="auto"/>
          <w:szCs w:val="21"/>
          <w:highlight w:val="none"/>
        </w:rPr>
        <w:t>根据</w:t>
      </w:r>
      <w:r>
        <w:rPr>
          <w:rFonts w:hint="eastAsia" w:ascii="宋体" w:hAnsi="宋体"/>
          <w:color w:val="auto"/>
          <w:szCs w:val="21"/>
          <w:highlight w:val="none"/>
        </w:rPr>
        <w:t>住房和城乡</w:t>
      </w:r>
      <w:r>
        <w:rPr>
          <w:rFonts w:ascii="宋体" w:hAnsi="宋体"/>
          <w:color w:val="auto"/>
          <w:szCs w:val="21"/>
          <w:highlight w:val="none"/>
        </w:rPr>
        <w:t>建设部</w:t>
      </w:r>
      <w:r>
        <w:rPr>
          <w:rFonts w:hint="eastAsia" w:ascii="宋体" w:hAnsi="宋体"/>
          <w:color w:val="auto"/>
          <w:szCs w:val="21"/>
          <w:highlight w:val="none"/>
        </w:rPr>
        <w:t>颁发的</w:t>
      </w:r>
      <w:r>
        <w:rPr>
          <w:rFonts w:ascii="宋体" w:hAnsi="宋体"/>
          <w:color w:val="auto"/>
          <w:szCs w:val="21"/>
          <w:highlight w:val="none"/>
        </w:rPr>
        <w:t>建质[2008]91 号文发布《关于印发&lt;建筑施工企业安 全生产管理机构设置及专职安全生产管理人员配备办法&gt;的通知》要求配置专职安全管理人员。承包人要建立健全安全生产保证体系，落实各级安全责任制，完善各项安全生产制度(包括奖惩制度)</w:t>
      </w:r>
      <w:r>
        <w:rPr>
          <w:rFonts w:hint="eastAsia" w:ascii="宋体" w:hAnsi="宋体"/>
          <w:color w:val="auto"/>
          <w:szCs w:val="21"/>
          <w:highlight w:val="none"/>
        </w:rPr>
        <w:t>，</w:t>
      </w:r>
      <w:r>
        <w:rPr>
          <w:rFonts w:ascii="宋体" w:hAnsi="宋体"/>
          <w:color w:val="auto"/>
          <w:szCs w:val="21"/>
          <w:highlight w:val="none"/>
        </w:rPr>
        <w:t>按照“谁施工谁负责”的原则，负责单位内部和施工责任区域的安全生产管理工作。</w:t>
      </w:r>
    </w:p>
    <w:p>
      <w:pPr>
        <w:snapToGrid w:val="0"/>
        <w:spacing w:line="360" w:lineRule="auto"/>
        <w:ind w:firstLine="482"/>
        <w:rPr>
          <w:rFonts w:ascii="宋体" w:hAnsi="宋体"/>
          <w:color w:val="auto"/>
          <w:szCs w:val="21"/>
          <w:highlight w:val="none"/>
        </w:rPr>
      </w:pPr>
      <w:r>
        <w:rPr>
          <w:rFonts w:ascii="宋体" w:hAnsi="宋体"/>
          <w:color w:val="auto"/>
          <w:szCs w:val="21"/>
          <w:highlight w:val="none"/>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各种安全操作规程，确保施工安全。</w:t>
      </w:r>
    </w:p>
    <w:p>
      <w:pPr>
        <w:snapToGrid w:val="0"/>
        <w:spacing w:line="360" w:lineRule="auto"/>
        <w:ind w:firstLine="482"/>
        <w:rPr>
          <w:rFonts w:ascii="宋体" w:hAnsi="宋体"/>
          <w:color w:val="auto"/>
          <w:szCs w:val="21"/>
          <w:highlight w:val="none"/>
        </w:rPr>
      </w:pPr>
      <w:r>
        <w:rPr>
          <w:rFonts w:ascii="宋体" w:hAnsi="宋体"/>
          <w:color w:val="auto"/>
          <w:szCs w:val="21"/>
          <w:highlight w:val="none"/>
        </w:rPr>
        <w:t>九、承包人要按照“安全自查，隐患自改、责任自负”的原则加强对施工责任区的日常安全检查</w:t>
      </w:r>
      <w:r>
        <w:rPr>
          <w:rFonts w:hint="eastAsia" w:ascii="宋体" w:hAnsi="宋体"/>
          <w:color w:val="auto"/>
          <w:szCs w:val="21"/>
          <w:highlight w:val="none"/>
        </w:rPr>
        <w:t>，</w:t>
      </w:r>
      <w:r>
        <w:rPr>
          <w:rFonts w:ascii="宋体" w:hAnsi="宋体"/>
          <w:color w:val="auto"/>
          <w:szCs w:val="21"/>
          <w:highlight w:val="none"/>
        </w:rPr>
        <w:t>及时制止和处理各类违章违法行为</w:t>
      </w:r>
      <w:r>
        <w:rPr>
          <w:rFonts w:hint="eastAsia" w:ascii="宋体" w:hAnsi="宋体"/>
          <w:color w:val="auto"/>
          <w:szCs w:val="21"/>
          <w:highlight w:val="none"/>
        </w:rPr>
        <w:t>，</w:t>
      </w:r>
      <w:r>
        <w:rPr>
          <w:rFonts w:ascii="宋体" w:hAnsi="宋体"/>
          <w:color w:val="auto"/>
          <w:szCs w:val="21"/>
          <w:highlight w:val="none"/>
        </w:rPr>
        <w:t>对查获的隐患要及时落实整改措施，消除隐患。</w:t>
      </w:r>
    </w:p>
    <w:p>
      <w:pPr>
        <w:snapToGrid w:val="0"/>
        <w:spacing w:line="360" w:lineRule="auto"/>
        <w:ind w:firstLine="482"/>
        <w:rPr>
          <w:rFonts w:ascii="宋体" w:hAnsi="宋体"/>
          <w:color w:val="auto"/>
          <w:szCs w:val="21"/>
          <w:highlight w:val="none"/>
        </w:rPr>
      </w:pPr>
      <w:r>
        <w:rPr>
          <w:rFonts w:ascii="宋体" w:hAnsi="宋体"/>
          <w:color w:val="auto"/>
          <w:szCs w:val="21"/>
          <w:highlight w:val="none"/>
        </w:rPr>
        <w:t>十、承包人应主动接受发包人在安全生产工作上的业务指导，检查和督促，服从管理</w:t>
      </w:r>
      <w:r>
        <w:rPr>
          <w:rFonts w:hint="eastAsia" w:ascii="宋体" w:hAnsi="宋体"/>
          <w:color w:val="auto"/>
          <w:szCs w:val="21"/>
          <w:highlight w:val="none"/>
        </w:rPr>
        <w:t>，</w:t>
      </w:r>
      <w:r>
        <w:rPr>
          <w:rFonts w:ascii="宋体" w:hAnsi="宋体"/>
          <w:color w:val="auto"/>
          <w:szCs w:val="21"/>
          <w:highlight w:val="none"/>
        </w:rPr>
        <w:t>对发包人的工作布置和组织的活动要积极贯彻实施和参加</w:t>
      </w:r>
      <w:r>
        <w:rPr>
          <w:rFonts w:hint="eastAsia" w:ascii="宋体" w:hAnsi="宋体"/>
          <w:color w:val="auto"/>
          <w:szCs w:val="21"/>
          <w:highlight w:val="none"/>
        </w:rPr>
        <w:t>，</w:t>
      </w:r>
      <w:r>
        <w:rPr>
          <w:rFonts w:ascii="宋体" w:hAnsi="宋体"/>
          <w:color w:val="auto"/>
          <w:szCs w:val="21"/>
          <w:highlight w:val="none"/>
        </w:rPr>
        <w:t>对发包人给予因责任违约的经济处理如有异议可要求复核</w:t>
      </w:r>
      <w:r>
        <w:rPr>
          <w:rFonts w:hint="eastAsia" w:ascii="宋体" w:hAnsi="宋体"/>
          <w:color w:val="auto"/>
          <w:szCs w:val="21"/>
          <w:highlight w:val="none"/>
        </w:rPr>
        <w:t>，</w:t>
      </w:r>
      <w:r>
        <w:rPr>
          <w:rFonts w:ascii="宋体" w:hAnsi="宋体"/>
          <w:color w:val="auto"/>
          <w:szCs w:val="21"/>
          <w:highlight w:val="none"/>
        </w:rPr>
        <w:t>对发包人工作人员利用职权营私舞弊、有意刁难的违法行为，有权检举揭发，要求处理。</w:t>
      </w:r>
    </w:p>
    <w:p>
      <w:pPr>
        <w:snapToGrid w:val="0"/>
        <w:spacing w:line="360" w:lineRule="auto"/>
        <w:ind w:firstLine="482"/>
        <w:rPr>
          <w:rFonts w:ascii="宋体" w:hAnsi="宋体"/>
          <w:color w:val="auto"/>
          <w:szCs w:val="21"/>
          <w:highlight w:val="none"/>
        </w:rPr>
      </w:pPr>
      <w:r>
        <w:rPr>
          <w:rFonts w:ascii="宋体" w:hAnsi="宋体"/>
          <w:color w:val="auto"/>
          <w:szCs w:val="21"/>
          <w:highlight w:val="none"/>
        </w:rPr>
        <w:t>十一、承包人因疏于管理违章违法作业发生安全事故或造成人员伤亡的，应在积极抢救受伤人员、保护现场的同时，严格按安全事故上报的规定时限向发包人和当地劳动行政部门汇报，不得迟报瞒报。</w:t>
      </w:r>
    </w:p>
    <w:p>
      <w:pPr>
        <w:snapToGrid w:val="0"/>
        <w:spacing w:line="360" w:lineRule="auto"/>
        <w:ind w:firstLine="482"/>
        <w:rPr>
          <w:rFonts w:ascii="宋体" w:hAnsi="宋体"/>
          <w:color w:val="auto"/>
          <w:szCs w:val="21"/>
          <w:highlight w:val="none"/>
        </w:rPr>
      </w:pPr>
      <w:r>
        <w:rPr>
          <w:rFonts w:ascii="宋体" w:hAnsi="宋体"/>
          <w:color w:val="auto"/>
          <w:szCs w:val="21"/>
          <w:highlight w:val="none"/>
        </w:rPr>
        <w:t>十二、本协议中未涉及的有关条款，甲乙双方可根据需要协商补充修改。如遇有国家和本市的有关法规不符的，应按国家和本市的有关法规执行。</w:t>
      </w:r>
    </w:p>
    <w:p>
      <w:pPr>
        <w:snapToGrid w:val="0"/>
        <w:spacing w:line="360" w:lineRule="auto"/>
        <w:ind w:firstLine="482"/>
        <w:rPr>
          <w:rFonts w:ascii="宋体" w:hAnsi="宋体"/>
          <w:color w:val="auto"/>
          <w:szCs w:val="21"/>
          <w:highlight w:val="none"/>
        </w:rPr>
      </w:pPr>
      <w:r>
        <w:rPr>
          <w:rFonts w:ascii="宋体" w:hAnsi="宋体"/>
          <w:color w:val="auto"/>
          <w:szCs w:val="21"/>
          <w:highlight w:val="none"/>
        </w:rPr>
        <w:t>十三、承包方应该接受发包方安保部门的监督、检查和指导，积极落实发包方安保部门发出的整改指令。</w:t>
      </w:r>
    </w:p>
    <w:p>
      <w:pPr>
        <w:snapToGrid w:val="0"/>
        <w:spacing w:line="360" w:lineRule="auto"/>
        <w:ind w:firstLine="482"/>
        <w:rPr>
          <w:rFonts w:ascii="宋体" w:hAnsi="宋体"/>
          <w:color w:val="auto"/>
          <w:szCs w:val="21"/>
          <w:highlight w:val="none"/>
        </w:rPr>
      </w:pPr>
      <w:r>
        <w:rPr>
          <w:rFonts w:ascii="宋体" w:hAnsi="宋体"/>
          <w:color w:val="auto"/>
          <w:szCs w:val="21"/>
          <w:highlight w:val="none"/>
        </w:rPr>
        <w:t>十四、本协议作为甲乙双方工程合同的附件，在工程合同签约后生效，与工程合同具有同等法律效力。工程合同期满，本协议终止。</w:t>
      </w:r>
    </w:p>
    <w:p>
      <w:pPr>
        <w:snapToGrid w:val="0"/>
        <w:spacing w:line="360" w:lineRule="auto"/>
        <w:ind w:firstLine="482"/>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w:t>
      </w:r>
      <w:r>
        <w:rPr>
          <w:rFonts w:hint="eastAsia" w:ascii="宋体" w:hAnsi="宋体"/>
          <w:color w:val="auto"/>
          <w:szCs w:val="21"/>
          <w:highlight w:val="none"/>
          <w:u w:val="single"/>
        </w:rPr>
        <w:t xml:space="preserve">              </w:t>
      </w:r>
      <w:r>
        <w:rPr>
          <w:rFonts w:hint="eastAsia" w:ascii="宋体" w:hAnsi="宋体"/>
          <w:color w:val="auto"/>
          <w:szCs w:val="21"/>
          <w:highlight w:val="none"/>
        </w:rPr>
        <w:t>(单位公章)       承包人：</w:t>
      </w:r>
      <w:r>
        <w:rPr>
          <w:rFonts w:hint="eastAsia" w:ascii="宋体" w:hAnsi="宋体"/>
          <w:color w:val="auto"/>
          <w:szCs w:val="21"/>
          <w:highlight w:val="none"/>
          <w:u w:val="single"/>
        </w:rPr>
        <w:t xml:space="preserve">                </w:t>
      </w:r>
      <w:r>
        <w:rPr>
          <w:rFonts w:hint="eastAsia" w:ascii="宋体" w:hAnsi="宋体"/>
          <w:color w:val="auto"/>
          <w:szCs w:val="21"/>
          <w:highlight w:val="none"/>
        </w:rPr>
        <w:t>(单位公章)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法定地址：</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法定地址：</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法定代表人或其                         法定代表人或其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     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snapToGrid w:val="0"/>
        <w:spacing w:line="360" w:lineRule="auto"/>
        <w:ind w:firstLine="482"/>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电话：</w:t>
      </w:r>
      <w:r>
        <w:rPr>
          <w:rFonts w:hint="eastAsia" w:ascii="宋体" w:hAnsi="宋体"/>
          <w:color w:val="auto"/>
          <w:szCs w:val="21"/>
          <w:highlight w:val="none"/>
          <w:u w:val="single"/>
        </w:rPr>
        <w:t xml:space="preserve">                       </w:t>
      </w:r>
    </w:p>
    <w:p>
      <w:pPr>
        <w:snapToGrid w:val="0"/>
        <w:spacing w:line="360" w:lineRule="auto"/>
        <w:ind w:firstLine="482"/>
        <w:rPr>
          <w:rFonts w:ascii="宋体" w:hAnsi="宋体"/>
          <w:color w:val="auto"/>
          <w:szCs w:val="21"/>
          <w:highlight w:val="none"/>
        </w:rPr>
      </w:pPr>
      <w:r>
        <w:rPr>
          <w:rFonts w:ascii="宋体" w:hAnsi="宋体"/>
          <w:color w:val="auto"/>
          <w:szCs w:val="21"/>
          <w:highlight w:val="none"/>
        </w:rPr>
        <w:t xml:space="preserve">签约日期：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pPr>
        <w:spacing w:line="360" w:lineRule="auto"/>
        <w:rPr>
          <w:rFonts w:ascii="宋体" w:hAnsi="宋体"/>
          <w:color w:val="auto"/>
          <w:szCs w:val="21"/>
          <w:highlight w:val="none"/>
        </w:rPr>
      </w:pPr>
    </w:p>
    <w:p>
      <w:pPr>
        <w:spacing w:line="360" w:lineRule="auto"/>
        <w:outlineLvl w:val="2"/>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附件6：文明施工责任协议书格式</w:t>
      </w:r>
    </w:p>
    <w:p>
      <w:pPr>
        <w:spacing w:before="120" w:beforeLines="50" w:after="120" w:afterLines="50" w:line="360" w:lineRule="auto"/>
        <w:jc w:val="center"/>
        <w:rPr>
          <w:rFonts w:ascii="宋体" w:hAnsi="宋体"/>
          <w:color w:val="auto"/>
          <w:szCs w:val="21"/>
          <w:highlight w:val="none"/>
        </w:rPr>
      </w:pPr>
      <w:r>
        <w:rPr>
          <w:rFonts w:hint="eastAsia" w:ascii="宋体" w:hAnsi="宋体"/>
          <w:color w:val="auto"/>
          <w:szCs w:val="21"/>
          <w:highlight w:val="none"/>
        </w:rPr>
        <w:t>文明施工责任协议书</w:t>
      </w:r>
    </w:p>
    <w:p>
      <w:pPr>
        <w:spacing w:after="120" w:line="360" w:lineRule="auto"/>
        <w:ind w:firstLine="420" w:firstLineChars="200"/>
        <w:rPr>
          <w:rFonts w:ascii="宋体" w:hAnsi="宋体"/>
          <w:color w:val="auto"/>
          <w:szCs w:val="21"/>
          <w:highlight w:val="none"/>
        </w:rPr>
      </w:pPr>
      <w:r>
        <w:rPr>
          <w:rFonts w:ascii="宋体" w:hAnsi="宋体"/>
          <w:color w:val="auto"/>
          <w:szCs w:val="21"/>
          <w:highlight w:val="none"/>
        </w:rPr>
        <w:t>为贯彻执行建设部《建设工程施工现场管理规定》和《上海市建设工程文明施工管理暂行规定》，认真做好工程建设施工区域内的文明施工，现经甲、乙双方协商同意，明确在文明施工和文明施工管理中的各自职责，并签订如下协议。</w:t>
      </w:r>
    </w:p>
    <w:p>
      <w:pPr>
        <w:snapToGrid w:val="0"/>
        <w:spacing w:line="360" w:lineRule="auto"/>
        <w:ind w:firstLine="480"/>
        <w:rPr>
          <w:rFonts w:ascii="宋体" w:hAnsi="宋体"/>
          <w:color w:val="auto"/>
          <w:szCs w:val="21"/>
          <w:highlight w:val="none"/>
        </w:rPr>
      </w:pPr>
      <w:r>
        <w:rPr>
          <w:rFonts w:ascii="宋体" w:hAnsi="宋体"/>
          <w:color w:val="auto"/>
          <w:szCs w:val="21"/>
          <w:highlight w:val="none"/>
        </w:rPr>
        <w:t>一、 双方同意在工程管理和工程建设中必须坚持社会效益第一，经济效益和社会效益相一致</w:t>
      </w:r>
      <w:r>
        <w:rPr>
          <w:rFonts w:hint="eastAsia" w:ascii="宋体" w:hAnsi="宋体"/>
          <w:color w:val="auto"/>
          <w:szCs w:val="21"/>
          <w:highlight w:val="none"/>
        </w:rPr>
        <w:t>“</w:t>
      </w:r>
      <w:r>
        <w:rPr>
          <w:rFonts w:ascii="宋体" w:hAnsi="宋体"/>
          <w:color w:val="auto"/>
          <w:szCs w:val="21"/>
          <w:highlight w:val="none"/>
        </w:rPr>
        <w:t>方便人民生活，有利于发展生产、保护生态环境</w:t>
      </w:r>
      <w:r>
        <w:rPr>
          <w:rFonts w:hint="eastAsia" w:ascii="宋体" w:hAnsi="宋体"/>
          <w:color w:val="auto"/>
          <w:szCs w:val="21"/>
          <w:highlight w:val="none"/>
        </w:rPr>
        <w:t>”</w:t>
      </w:r>
      <w:r>
        <w:rPr>
          <w:rFonts w:ascii="宋体" w:hAnsi="宋体"/>
          <w:color w:val="auto"/>
          <w:szCs w:val="21"/>
          <w:highlight w:val="none"/>
        </w:rPr>
        <w:t>的原则，坚持便民、利民、为民服务的宗旨。搞好工程建设中的文明施工。</w:t>
      </w:r>
    </w:p>
    <w:p>
      <w:pPr>
        <w:snapToGrid w:val="0"/>
        <w:spacing w:line="360" w:lineRule="auto"/>
        <w:ind w:firstLine="480"/>
        <w:rPr>
          <w:rFonts w:ascii="宋体" w:hAnsi="宋体"/>
          <w:color w:val="auto"/>
          <w:szCs w:val="21"/>
          <w:highlight w:val="none"/>
        </w:rPr>
      </w:pPr>
      <w:r>
        <w:rPr>
          <w:rFonts w:ascii="宋体" w:hAnsi="宋体"/>
          <w:color w:val="auto"/>
          <w:szCs w:val="21"/>
          <w:highlight w:val="none"/>
        </w:rPr>
        <w:t>二、 双方要认真贯彻</w:t>
      </w:r>
      <w:r>
        <w:rPr>
          <w:rFonts w:hint="eastAsia" w:ascii="宋体" w:hAnsi="宋体"/>
          <w:color w:val="auto"/>
          <w:szCs w:val="21"/>
          <w:highlight w:val="none"/>
        </w:rPr>
        <w:t>“</w:t>
      </w:r>
      <w:r>
        <w:rPr>
          <w:rFonts w:ascii="宋体" w:hAnsi="宋体"/>
          <w:color w:val="auto"/>
          <w:szCs w:val="21"/>
          <w:highlight w:val="none"/>
        </w:rPr>
        <w:t>发包人负责，施工单位实施，地方政府监督</w:t>
      </w:r>
      <w:r>
        <w:rPr>
          <w:rFonts w:hint="eastAsia" w:ascii="宋体" w:hAnsi="宋体"/>
          <w:color w:val="auto"/>
          <w:szCs w:val="21"/>
          <w:highlight w:val="none"/>
        </w:rPr>
        <w:t>”</w:t>
      </w:r>
      <w:r>
        <w:rPr>
          <w:rFonts w:ascii="宋体" w:hAnsi="宋体"/>
          <w:color w:val="auto"/>
          <w:szCs w:val="21"/>
          <w:highlight w:val="none"/>
        </w:rPr>
        <w:t>的文明施工原则。现场由发包人项目管理组牵头，建立三方共同参与的文明施工管理小组，负责日常管理协调工作，争创文明工地。发包人按市有关创建文明工地的规定，组织、指导、检查、考核、和开展选评工作，创建活动的实施由承包人负责。</w:t>
      </w:r>
    </w:p>
    <w:p>
      <w:pPr>
        <w:snapToGrid w:val="0"/>
        <w:spacing w:line="360" w:lineRule="auto"/>
        <w:ind w:firstLine="480"/>
        <w:rPr>
          <w:rFonts w:ascii="宋体" w:hAnsi="宋体"/>
          <w:color w:val="auto"/>
          <w:szCs w:val="21"/>
          <w:highlight w:val="none"/>
        </w:rPr>
      </w:pPr>
      <w:r>
        <w:rPr>
          <w:rFonts w:ascii="宋体" w:hAnsi="宋体"/>
          <w:color w:val="auto"/>
          <w:szCs w:val="21"/>
          <w:highlight w:val="none"/>
        </w:rPr>
        <w:t>三、 承包人在其施工大纲中应结合工程实际情况，制订出各项文明施工措施，并落实如下有关要求：</w:t>
      </w:r>
    </w:p>
    <w:p>
      <w:pPr>
        <w:snapToGrid w:val="0"/>
        <w:spacing w:line="360" w:lineRule="auto"/>
        <w:ind w:firstLine="480"/>
        <w:rPr>
          <w:rFonts w:ascii="宋体" w:hAnsi="宋体"/>
          <w:color w:val="auto"/>
          <w:szCs w:val="21"/>
          <w:highlight w:val="none"/>
        </w:rPr>
      </w:pPr>
      <w:r>
        <w:rPr>
          <w:rFonts w:ascii="宋体" w:hAnsi="宋体"/>
          <w:color w:val="auto"/>
          <w:szCs w:val="21"/>
          <w:highlight w:val="none"/>
        </w:rPr>
        <w:t>1、施工现场必须按规定要求设置施工铭牌，所有施工管理、作业人员应配带胸卡上岗。</w:t>
      </w:r>
    </w:p>
    <w:p>
      <w:pPr>
        <w:snapToGrid w:val="0"/>
        <w:spacing w:line="360" w:lineRule="auto"/>
        <w:ind w:firstLine="480"/>
        <w:rPr>
          <w:rFonts w:ascii="宋体" w:hAnsi="宋体"/>
          <w:color w:val="auto"/>
          <w:szCs w:val="21"/>
          <w:highlight w:val="none"/>
        </w:rPr>
      </w:pPr>
      <w:r>
        <w:rPr>
          <w:rFonts w:ascii="宋体" w:hAnsi="宋体"/>
          <w:color w:val="auto"/>
          <w:szCs w:val="21"/>
          <w:highlight w:val="none"/>
        </w:rPr>
        <w:t>2、施工区域与非施工区域必须按规定设置分隔设施，并做到连续、稳固、整洁、美观和线型和顺。施工区域的围护设施如有损坏要及时修复。</w:t>
      </w:r>
    </w:p>
    <w:p>
      <w:pPr>
        <w:snapToGrid w:val="0"/>
        <w:spacing w:line="360" w:lineRule="auto"/>
        <w:ind w:firstLine="480"/>
        <w:rPr>
          <w:rFonts w:ascii="宋体" w:hAnsi="宋体"/>
          <w:color w:val="auto"/>
          <w:szCs w:val="21"/>
          <w:highlight w:val="none"/>
        </w:rPr>
      </w:pPr>
      <w:r>
        <w:rPr>
          <w:rFonts w:ascii="宋体" w:hAnsi="宋体"/>
          <w:color w:val="auto"/>
          <w:szCs w:val="21"/>
          <w:highlight w:val="none"/>
        </w:rPr>
        <w:t>3、在施工的路段要有保证车辆通行宽度的车行道、人行道和沿街居民出行的安全便道。凡在施工道路的交叉路口，均应按规定设置交通标志(牌)，夜间设示警灯及照明灯，便于车辆行人通行。如遇台风、暴雨季节要派人值班，确保安全。</w:t>
      </w:r>
    </w:p>
    <w:p>
      <w:pPr>
        <w:snapToGrid w:val="0"/>
        <w:spacing w:line="360" w:lineRule="auto"/>
        <w:ind w:firstLine="480"/>
        <w:rPr>
          <w:rFonts w:ascii="宋体" w:hAnsi="宋体"/>
          <w:color w:val="auto"/>
          <w:szCs w:val="21"/>
          <w:highlight w:val="none"/>
        </w:rPr>
      </w:pPr>
      <w:r>
        <w:rPr>
          <w:rFonts w:ascii="宋体" w:hAnsi="宋体"/>
          <w:color w:val="auto"/>
          <w:szCs w:val="21"/>
          <w:highlight w:val="none"/>
        </w:rPr>
        <w:t>4、要落实切实可行的施工临时排水和防汛措施，禁止向通道上排放，禁止泥浆水、水泥浆水未经沉淀直接排入下水道。</w:t>
      </w:r>
    </w:p>
    <w:p>
      <w:pPr>
        <w:snapToGrid w:val="0"/>
        <w:spacing w:line="360" w:lineRule="auto"/>
        <w:ind w:firstLine="480"/>
        <w:rPr>
          <w:rFonts w:ascii="宋体" w:hAnsi="宋体"/>
          <w:color w:val="auto"/>
          <w:szCs w:val="21"/>
          <w:highlight w:val="none"/>
        </w:rPr>
      </w:pPr>
      <w:r>
        <w:rPr>
          <w:rFonts w:ascii="宋体" w:hAnsi="宋体"/>
          <w:color w:val="auto"/>
          <w:szCs w:val="21"/>
          <w:highlight w:val="none"/>
        </w:rPr>
        <w:t>5、施工现场平面布置合理，各类材料、设备、预制构件等(包括土方)做到有序堆放，不得侵占车行道、人行道。施工中要加强对各种管线的保护。</w:t>
      </w:r>
    </w:p>
    <w:p>
      <w:pPr>
        <w:snapToGrid w:val="0"/>
        <w:spacing w:line="360" w:lineRule="auto"/>
        <w:ind w:firstLine="480"/>
        <w:rPr>
          <w:rFonts w:ascii="宋体" w:hAnsi="宋体"/>
          <w:color w:val="auto"/>
          <w:szCs w:val="21"/>
          <w:highlight w:val="none"/>
        </w:rPr>
      </w:pPr>
      <w:r>
        <w:rPr>
          <w:rFonts w:ascii="宋体" w:hAnsi="宋体"/>
          <w:color w:val="auto"/>
          <w:szCs w:val="21"/>
          <w:highlight w:val="none"/>
        </w:rPr>
        <w:t>6、施工中必须要采取有效措施，防止渣土洒落，泥浆、废水流溢，控制粉尘飞扬，减少施工对本市环境的污染，严格控制噪音。</w:t>
      </w:r>
    </w:p>
    <w:p>
      <w:pPr>
        <w:snapToGrid w:val="0"/>
        <w:spacing w:line="360" w:lineRule="auto"/>
        <w:ind w:firstLine="480"/>
        <w:rPr>
          <w:rFonts w:ascii="宋体" w:hAnsi="宋体"/>
          <w:color w:val="auto"/>
          <w:szCs w:val="21"/>
          <w:highlight w:val="none"/>
        </w:rPr>
      </w:pPr>
      <w:r>
        <w:rPr>
          <w:rFonts w:ascii="宋体" w:hAnsi="宋体"/>
          <w:color w:val="auto"/>
          <w:szCs w:val="21"/>
          <w:highlight w:val="none"/>
        </w:rPr>
        <w:t>7、为配合实施国家和上海市开展环境保护和减少污染的要求，承包人必须在每年5-8月委托政府环保监督部门对施工过程中的噪音、粉尘、废水进行一次测试，出具相应的测试报告，并提交发包人备案。</w:t>
      </w:r>
    </w:p>
    <w:p>
      <w:pPr>
        <w:snapToGrid w:val="0"/>
        <w:spacing w:line="360" w:lineRule="auto"/>
        <w:ind w:firstLine="480"/>
        <w:rPr>
          <w:rFonts w:ascii="宋体" w:hAnsi="宋体"/>
          <w:color w:val="auto"/>
          <w:szCs w:val="21"/>
          <w:highlight w:val="none"/>
        </w:rPr>
      </w:pPr>
      <w:r>
        <w:rPr>
          <w:rFonts w:ascii="宋体" w:hAnsi="宋体"/>
          <w:color w:val="auto"/>
          <w:szCs w:val="21"/>
          <w:highlight w:val="none"/>
        </w:rPr>
        <w:t>8、如发现承包人未进行上述环境保护测试工作，此测试工作由发包人代为办理，其费用由承包人加倍承担。</w:t>
      </w:r>
    </w:p>
    <w:p>
      <w:pPr>
        <w:snapToGrid w:val="0"/>
        <w:spacing w:line="360" w:lineRule="auto"/>
        <w:ind w:firstLine="480"/>
        <w:rPr>
          <w:rFonts w:ascii="宋体" w:hAnsi="宋体"/>
          <w:color w:val="auto"/>
          <w:szCs w:val="21"/>
          <w:highlight w:val="none"/>
        </w:rPr>
      </w:pPr>
      <w:r>
        <w:rPr>
          <w:rFonts w:ascii="宋体" w:hAnsi="宋体"/>
          <w:color w:val="auto"/>
          <w:szCs w:val="21"/>
          <w:highlight w:val="none"/>
        </w:rPr>
        <w:t>四、承包人负责施工区域及生活区域的环境卫生，建立完善</w:t>
      </w:r>
      <w:r>
        <w:rPr>
          <w:rFonts w:hint="eastAsia" w:ascii="宋体" w:hAnsi="宋体"/>
          <w:color w:val="auto"/>
          <w:szCs w:val="21"/>
          <w:highlight w:val="none"/>
        </w:rPr>
        <w:t>相</w:t>
      </w:r>
      <w:r>
        <w:rPr>
          <w:rFonts w:ascii="宋体" w:hAnsi="宋体"/>
          <w:color w:val="auto"/>
          <w:szCs w:val="21"/>
          <w:highlight w:val="none"/>
        </w:rPr>
        <w:t>关</w:t>
      </w:r>
      <w:r>
        <w:rPr>
          <w:rFonts w:hint="eastAsia" w:ascii="宋体" w:hAnsi="宋体"/>
          <w:color w:val="auto"/>
          <w:szCs w:val="21"/>
          <w:highlight w:val="none"/>
        </w:rPr>
        <w:t>的</w:t>
      </w:r>
      <w:r>
        <w:rPr>
          <w:rFonts w:ascii="宋体" w:hAnsi="宋体"/>
          <w:color w:val="auto"/>
          <w:szCs w:val="21"/>
          <w:highlight w:val="none"/>
        </w:rPr>
        <w:t>规章制度，落实责任制。做到</w:t>
      </w:r>
      <w:r>
        <w:rPr>
          <w:rFonts w:hint="eastAsia" w:ascii="宋体" w:hAnsi="宋体"/>
          <w:color w:val="auto"/>
          <w:szCs w:val="21"/>
          <w:highlight w:val="none"/>
        </w:rPr>
        <w:t>“</w:t>
      </w:r>
      <w:r>
        <w:rPr>
          <w:rFonts w:ascii="宋体" w:hAnsi="宋体"/>
          <w:color w:val="auto"/>
          <w:szCs w:val="21"/>
          <w:highlight w:val="none"/>
        </w:rPr>
        <w:t>五小</w:t>
      </w:r>
      <w:r>
        <w:rPr>
          <w:rFonts w:hint="eastAsia" w:ascii="宋体" w:hAnsi="宋体"/>
          <w:color w:val="auto"/>
          <w:szCs w:val="21"/>
          <w:highlight w:val="none"/>
        </w:rPr>
        <w:t>”</w:t>
      </w:r>
      <w:r>
        <w:rPr>
          <w:rFonts w:ascii="宋体" w:hAnsi="宋体"/>
          <w:color w:val="auto"/>
          <w:szCs w:val="21"/>
          <w:highlight w:val="none"/>
        </w:rPr>
        <w:t>生活设施齐全，符合规范要求。</w:t>
      </w:r>
    </w:p>
    <w:p>
      <w:pPr>
        <w:snapToGrid w:val="0"/>
        <w:spacing w:line="360" w:lineRule="auto"/>
        <w:ind w:firstLine="480"/>
        <w:rPr>
          <w:rFonts w:ascii="宋体" w:hAnsi="宋体"/>
          <w:color w:val="auto"/>
          <w:szCs w:val="21"/>
          <w:highlight w:val="none"/>
        </w:rPr>
      </w:pPr>
      <w:r>
        <w:rPr>
          <w:rFonts w:ascii="宋体" w:hAnsi="宋体"/>
          <w:color w:val="auto"/>
          <w:szCs w:val="21"/>
          <w:highlight w:val="none"/>
        </w:rPr>
        <w:t>五、发包人对承包人开展创建文明工地的工作要经常性地给予指导，定期组织检查，对承包人存在的问题应及时通知承包人进行整改，并有权以承包人责任违约，对责任单位每次处罚500</w:t>
      </w:r>
      <w:r>
        <w:rPr>
          <w:rFonts w:hint="eastAsia" w:ascii="宋体" w:hAnsi="宋体"/>
          <w:color w:val="auto"/>
          <w:szCs w:val="21"/>
          <w:highlight w:val="none"/>
        </w:rPr>
        <w:t>至</w:t>
      </w:r>
      <w:r>
        <w:rPr>
          <w:rFonts w:ascii="宋体" w:hAnsi="宋体"/>
          <w:color w:val="auto"/>
          <w:szCs w:val="21"/>
          <w:highlight w:val="none"/>
        </w:rPr>
        <w:t>5000元，并采取强化整改措施，对未按要求限期整改的或整改不力，情节严重的，对责任单位每次处罚1万</w:t>
      </w:r>
      <w:r>
        <w:rPr>
          <w:rFonts w:hint="eastAsia" w:ascii="宋体" w:hAnsi="宋体"/>
          <w:color w:val="auto"/>
          <w:szCs w:val="21"/>
          <w:highlight w:val="none"/>
        </w:rPr>
        <w:t>至</w:t>
      </w:r>
      <w:r>
        <w:rPr>
          <w:rFonts w:ascii="宋体" w:hAnsi="宋体"/>
          <w:color w:val="auto"/>
          <w:szCs w:val="21"/>
          <w:highlight w:val="none"/>
        </w:rPr>
        <w:t>5万元不等，整改所发生的费用从安全抵押金中扣除，最高上限为10万元。</w:t>
      </w:r>
    </w:p>
    <w:p>
      <w:pPr>
        <w:snapToGrid w:val="0"/>
        <w:spacing w:line="360" w:lineRule="auto"/>
        <w:ind w:firstLine="480"/>
        <w:rPr>
          <w:rFonts w:ascii="宋体" w:hAnsi="宋体"/>
          <w:color w:val="auto"/>
          <w:szCs w:val="21"/>
          <w:highlight w:val="none"/>
        </w:rPr>
      </w:pPr>
      <w:r>
        <w:rPr>
          <w:rFonts w:ascii="宋体" w:hAnsi="宋体"/>
          <w:color w:val="auto"/>
          <w:szCs w:val="21"/>
          <w:highlight w:val="none"/>
        </w:rPr>
        <w:t>六、因承包人违反文明施工管理要求，被地方政府有关部门查获而受到的经济处罚，以及由此而使发包人受到的经济损失，均由承包人承担。</w:t>
      </w:r>
    </w:p>
    <w:p>
      <w:pPr>
        <w:snapToGrid w:val="0"/>
        <w:spacing w:line="360" w:lineRule="auto"/>
        <w:ind w:firstLine="480"/>
        <w:rPr>
          <w:rFonts w:ascii="宋体" w:hAnsi="宋体"/>
          <w:color w:val="auto"/>
          <w:szCs w:val="21"/>
          <w:highlight w:val="none"/>
        </w:rPr>
      </w:pPr>
      <w:r>
        <w:rPr>
          <w:rFonts w:ascii="宋体" w:hAnsi="宋体"/>
          <w:color w:val="auto"/>
          <w:szCs w:val="21"/>
          <w:highlight w:val="none"/>
        </w:rPr>
        <w:t>七、本协议作为甲乙双方工程合同的附件，在工程合同正式签约后生效，与工程合同具有同等法律效力。工程合同期满，本协议终止。</w:t>
      </w:r>
    </w:p>
    <w:p>
      <w:pPr>
        <w:snapToGrid w:val="0"/>
        <w:spacing w:line="360" w:lineRule="auto"/>
        <w:ind w:firstLine="480"/>
        <w:rPr>
          <w:rFonts w:ascii="宋体" w:hAnsi="宋体"/>
          <w:color w:val="auto"/>
          <w:szCs w:val="21"/>
          <w:highlight w:val="none"/>
        </w:rPr>
      </w:pPr>
    </w:p>
    <w:p>
      <w:pPr>
        <w:snapToGrid w:val="0"/>
        <w:spacing w:line="360" w:lineRule="auto"/>
        <w:ind w:firstLine="48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w:t>
      </w:r>
      <w:r>
        <w:rPr>
          <w:rFonts w:hint="eastAsia" w:ascii="宋体" w:hAnsi="宋体"/>
          <w:color w:val="auto"/>
          <w:szCs w:val="21"/>
          <w:highlight w:val="none"/>
          <w:u w:val="single"/>
        </w:rPr>
        <w:t xml:space="preserve">              </w:t>
      </w:r>
      <w:r>
        <w:rPr>
          <w:rFonts w:hint="eastAsia" w:ascii="宋体" w:hAnsi="宋体"/>
          <w:color w:val="auto"/>
          <w:szCs w:val="21"/>
          <w:highlight w:val="none"/>
        </w:rPr>
        <w:t>(单位公章)       承包人：</w:t>
      </w:r>
      <w:r>
        <w:rPr>
          <w:rFonts w:hint="eastAsia" w:ascii="宋体" w:hAnsi="宋体"/>
          <w:color w:val="auto"/>
          <w:szCs w:val="21"/>
          <w:highlight w:val="none"/>
          <w:u w:val="single"/>
        </w:rPr>
        <w:t xml:space="preserve">                </w:t>
      </w:r>
      <w:r>
        <w:rPr>
          <w:rFonts w:hint="eastAsia" w:ascii="宋体" w:hAnsi="宋体"/>
          <w:color w:val="auto"/>
          <w:szCs w:val="21"/>
          <w:highlight w:val="none"/>
        </w:rPr>
        <w:t>(单位公章)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法定地址：</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法定地址：</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法定代表人或其                         法定代表人或其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     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snapToGrid w:val="0"/>
        <w:spacing w:line="360" w:lineRule="auto"/>
        <w:ind w:firstLine="482"/>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电话：</w:t>
      </w:r>
      <w:r>
        <w:rPr>
          <w:rFonts w:hint="eastAsia" w:ascii="宋体" w:hAnsi="宋体"/>
          <w:color w:val="auto"/>
          <w:szCs w:val="21"/>
          <w:highlight w:val="none"/>
          <w:u w:val="single"/>
        </w:rPr>
        <w:t xml:space="preserve">                       </w:t>
      </w:r>
    </w:p>
    <w:p>
      <w:pPr>
        <w:spacing w:before="120" w:beforeLines="50" w:after="120" w:afterLines="50" w:line="360" w:lineRule="auto"/>
        <w:ind w:firstLine="420" w:firstLineChars="200"/>
        <w:jc w:val="left"/>
        <w:rPr>
          <w:rFonts w:ascii="宋体" w:hAnsi="宋体"/>
          <w:color w:val="auto"/>
          <w:szCs w:val="21"/>
          <w:highlight w:val="none"/>
        </w:rPr>
      </w:pPr>
      <w:r>
        <w:rPr>
          <w:rFonts w:ascii="宋体" w:hAnsi="宋体"/>
          <w:color w:val="auto"/>
          <w:szCs w:val="21"/>
          <w:highlight w:val="none"/>
        </w:rPr>
        <w:t xml:space="preserve">签约日期：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pPr>
        <w:spacing w:before="120" w:beforeLines="50" w:after="120" w:afterLines="50" w:line="360" w:lineRule="auto"/>
        <w:jc w:val="left"/>
        <w:rPr>
          <w:rFonts w:ascii="宋体" w:hAnsi="宋体"/>
          <w:color w:val="auto"/>
          <w:szCs w:val="21"/>
          <w:highlight w:val="none"/>
        </w:rPr>
      </w:pPr>
    </w:p>
    <w:p>
      <w:pPr>
        <w:spacing w:before="120" w:beforeLines="50" w:after="120" w:afterLines="50" w:line="360" w:lineRule="auto"/>
        <w:jc w:val="left"/>
        <w:rPr>
          <w:rFonts w:ascii="宋体" w:hAnsi="宋体"/>
          <w:color w:val="auto"/>
          <w:szCs w:val="21"/>
          <w:highlight w:val="none"/>
        </w:rPr>
      </w:pPr>
    </w:p>
    <w:p>
      <w:pPr>
        <w:spacing w:before="120" w:beforeLines="50" w:after="120" w:afterLines="50" w:line="360" w:lineRule="auto"/>
        <w:jc w:val="left"/>
        <w:rPr>
          <w:rFonts w:ascii="宋体" w:hAnsi="宋体"/>
          <w:color w:val="auto"/>
          <w:szCs w:val="21"/>
          <w:highlight w:val="none"/>
        </w:rPr>
      </w:pPr>
    </w:p>
    <w:p>
      <w:pPr>
        <w:spacing w:before="120" w:beforeLines="50" w:after="120" w:afterLines="50" w:line="360" w:lineRule="auto"/>
        <w:jc w:val="left"/>
        <w:rPr>
          <w:rFonts w:ascii="宋体" w:hAnsi="宋体"/>
          <w:color w:val="auto"/>
          <w:szCs w:val="21"/>
          <w:highlight w:val="none"/>
        </w:rPr>
      </w:pPr>
    </w:p>
    <w:p>
      <w:pPr>
        <w:spacing w:before="120" w:beforeLines="50" w:after="120" w:afterLines="50" w:line="360" w:lineRule="auto"/>
        <w:jc w:val="left"/>
        <w:rPr>
          <w:rFonts w:ascii="宋体" w:hAnsi="宋体"/>
          <w:color w:val="auto"/>
          <w:szCs w:val="21"/>
          <w:highlight w:val="none"/>
        </w:rPr>
      </w:pPr>
    </w:p>
    <w:p>
      <w:pPr>
        <w:spacing w:before="120" w:beforeLines="50" w:after="120" w:afterLines="50" w:line="360" w:lineRule="auto"/>
        <w:jc w:val="left"/>
        <w:rPr>
          <w:rFonts w:ascii="宋体" w:hAnsi="宋体"/>
          <w:color w:val="auto"/>
          <w:szCs w:val="21"/>
          <w:highlight w:val="none"/>
        </w:rPr>
      </w:pPr>
    </w:p>
    <w:p>
      <w:pPr>
        <w:spacing w:before="120" w:beforeLines="50" w:after="120" w:afterLines="50" w:line="360" w:lineRule="auto"/>
        <w:jc w:val="left"/>
        <w:rPr>
          <w:rFonts w:ascii="宋体" w:hAnsi="宋体"/>
          <w:color w:val="auto"/>
          <w:szCs w:val="21"/>
          <w:highlight w:val="none"/>
        </w:rPr>
      </w:pPr>
    </w:p>
    <w:p>
      <w:pPr>
        <w:spacing w:before="120" w:beforeLines="50" w:after="120" w:afterLines="50" w:line="360" w:lineRule="auto"/>
        <w:jc w:val="left"/>
        <w:rPr>
          <w:rFonts w:ascii="宋体" w:hAnsi="宋体"/>
          <w:color w:val="auto"/>
          <w:szCs w:val="21"/>
          <w:highlight w:val="none"/>
        </w:rPr>
      </w:pPr>
    </w:p>
    <w:p>
      <w:pPr>
        <w:spacing w:before="120" w:beforeLines="50" w:after="120" w:afterLines="50" w:line="360" w:lineRule="auto"/>
        <w:jc w:val="left"/>
        <w:rPr>
          <w:rFonts w:ascii="宋体" w:hAnsi="宋体"/>
          <w:color w:val="auto"/>
          <w:szCs w:val="21"/>
          <w:highlight w:val="none"/>
        </w:rPr>
      </w:pPr>
    </w:p>
    <w:p>
      <w:pPr>
        <w:spacing w:before="120" w:beforeLines="50" w:after="120" w:afterLines="50" w:line="360" w:lineRule="auto"/>
        <w:jc w:val="left"/>
        <w:rPr>
          <w:rFonts w:ascii="宋体" w:hAnsi="宋体"/>
          <w:color w:val="auto"/>
          <w:szCs w:val="21"/>
          <w:highlight w:val="none"/>
        </w:rPr>
      </w:pPr>
    </w:p>
    <w:p>
      <w:pPr>
        <w:widowControl/>
        <w:jc w:val="left"/>
        <w:rPr>
          <w:rFonts w:ascii="宋体" w:hAnsi="宋体"/>
          <w:color w:val="auto"/>
          <w:szCs w:val="21"/>
          <w:highlight w:val="none"/>
        </w:rPr>
      </w:pPr>
      <w:r>
        <w:rPr>
          <w:rFonts w:ascii="宋体" w:hAnsi="宋体"/>
          <w:color w:val="auto"/>
          <w:szCs w:val="21"/>
          <w:highlight w:val="none"/>
        </w:rPr>
        <w:br w:type="page"/>
      </w:r>
    </w:p>
    <w:p>
      <w:pPr>
        <w:spacing w:line="360" w:lineRule="auto"/>
        <w:outlineLvl w:val="2"/>
        <w:rPr>
          <w:rFonts w:ascii="宋体" w:hAnsi="宋体"/>
          <w:color w:val="auto"/>
          <w:szCs w:val="21"/>
          <w:highlight w:val="none"/>
        </w:rPr>
      </w:pPr>
      <w:r>
        <w:rPr>
          <w:rFonts w:hint="eastAsia" w:ascii="宋体" w:hAnsi="宋体"/>
          <w:color w:val="auto"/>
          <w:szCs w:val="21"/>
          <w:highlight w:val="none"/>
        </w:rPr>
        <w:t>附件7：治安、防火责任协议格式</w:t>
      </w:r>
    </w:p>
    <w:p>
      <w:pPr>
        <w:spacing w:before="120" w:beforeLines="50" w:after="120" w:afterLines="50" w:line="360" w:lineRule="auto"/>
        <w:jc w:val="center"/>
        <w:rPr>
          <w:rFonts w:ascii="宋体" w:hAnsi="宋体"/>
          <w:color w:val="auto"/>
          <w:szCs w:val="21"/>
          <w:highlight w:val="none"/>
        </w:rPr>
      </w:pPr>
      <w:r>
        <w:rPr>
          <w:rFonts w:hint="eastAsia" w:ascii="宋体" w:hAnsi="宋体"/>
          <w:color w:val="auto"/>
          <w:szCs w:val="21"/>
          <w:highlight w:val="none"/>
        </w:rPr>
        <w:t>治安、防火责任协议</w:t>
      </w:r>
    </w:p>
    <w:p>
      <w:pPr>
        <w:snapToGrid w:val="0"/>
        <w:spacing w:line="360" w:lineRule="auto"/>
        <w:ind w:firstLine="525" w:firstLineChars="250"/>
        <w:rPr>
          <w:rFonts w:ascii="宋体" w:hAnsi="宋体"/>
          <w:color w:val="auto"/>
          <w:szCs w:val="21"/>
          <w:highlight w:val="none"/>
        </w:rPr>
      </w:pPr>
      <w:r>
        <w:rPr>
          <w:rFonts w:ascii="宋体" w:hAnsi="宋体"/>
          <w:color w:val="auto"/>
          <w:szCs w:val="21"/>
          <w:highlight w:val="none"/>
        </w:rPr>
        <w:t>为切实搞好工程建设中的治安、防火工作，确保施工</w:t>
      </w:r>
      <w:r>
        <w:rPr>
          <w:rFonts w:hint="eastAsia" w:ascii="宋体" w:hAnsi="宋体"/>
          <w:color w:val="auto"/>
          <w:szCs w:val="21"/>
          <w:highlight w:val="none"/>
        </w:rPr>
        <w:t>现</w:t>
      </w:r>
      <w:r>
        <w:rPr>
          <w:rFonts w:ascii="宋体" w:hAnsi="宋体"/>
          <w:color w:val="auto"/>
          <w:szCs w:val="21"/>
          <w:highlight w:val="none"/>
        </w:rPr>
        <w:t>场的治安稳定和防火安全，现根据《上海市社会治安防范责任条例》之规定，经甲乙双方协商，明确双方在治安防范、防火安全方面的权利和义务：</w:t>
      </w:r>
    </w:p>
    <w:p>
      <w:pPr>
        <w:snapToGrid w:val="0"/>
        <w:spacing w:line="360" w:lineRule="auto"/>
        <w:ind w:firstLine="480"/>
        <w:rPr>
          <w:rFonts w:ascii="宋体" w:hAnsi="宋体"/>
          <w:color w:val="auto"/>
          <w:szCs w:val="21"/>
          <w:highlight w:val="none"/>
        </w:rPr>
      </w:pPr>
      <w:r>
        <w:rPr>
          <w:rFonts w:ascii="宋体" w:hAnsi="宋体"/>
          <w:color w:val="auto"/>
          <w:szCs w:val="21"/>
          <w:highlight w:val="none"/>
        </w:rPr>
        <w:t>一、发包人的权利和义务</w:t>
      </w:r>
    </w:p>
    <w:p>
      <w:pPr>
        <w:snapToGrid w:val="0"/>
        <w:spacing w:line="360" w:lineRule="auto"/>
        <w:ind w:firstLine="480"/>
        <w:rPr>
          <w:rFonts w:ascii="宋体" w:hAnsi="宋体"/>
          <w:color w:val="auto"/>
          <w:szCs w:val="21"/>
          <w:highlight w:val="none"/>
        </w:rPr>
      </w:pPr>
      <w:r>
        <w:rPr>
          <w:rFonts w:ascii="宋体" w:hAnsi="宋体"/>
          <w:color w:val="auto"/>
          <w:szCs w:val="21"/>
          <w:highlight w:val="none"/>
        </w:rPr>
        <w:t>1．发包人在与承包人签约工程合同时应将发包人对《施工现场治安防火工作管理规范》书面交于承包人，明确要求、落实责任、加强指导。</w:t>
      </w:r>
    </w:p>
    <w:p>
      <w:pPr>
        <w:snapToGrid w:val="0"/>
        <w:spacing w:line="360" w:lineRule="auto"/>
        <w:ind w:firstLine="480"/>
        <w:rPr>
          <w:rFonts w:ascii="宋体" w:hAnsi="宋体"/>
          <w:color w:val="auto"/>
          <w:szCs w:val="21"/>
          <w:highlight w:val="none"/>
        </w:rPr>
      </w:pPr>
      <w:r>
        <w:rPr>
          <w:rFonts w:ascii="宋体" w:hAnsi="宋体"/>
          <w:color w:val="auto"/>
          <w:szCs w:val="21"/>
          <w:highlight w:val="none"/>
        </w:rPr>
        <w:t>2．发包人应将上级公安部门和上级单位对工地治安防火工作的有关要求、信息及时向承包人进行传达布置，定期听取承包人在开展治安防火工作中的情况和意见，做好指导和协调工作。</w:t>
      </w:r>
    </w:p>
    <w:p>
      <w:pPr>
        <w:snapToGrid w:val="0"/>
        <w:spacing w:line="360" w:lineRule="auto"/>
        <w:ind w:firstLine="480"/>
        <w:rPr>
          <w:rFonts w:ascii="宋体" w:hAnsi="宋体"/>
          <w:color w:val="auto"/>
          <w:szCs w:val="21"/>
          <w:highlight w:val="none"/>
        </w:rPr>
      </w:pPr>
      <w:r>
        <w:rPr>
          <w:rFonts w:ascii="宋体" w:hAnsi="宋体"/>
          <w:color w:val="auto"/>
          <w:szCs w:val="21"/>
          <w:highlight w:val="none"/>
        </w:rPr>
        <w:t>3．发包人有权对承包人贯彻落实治安防火工作的情况进行检查，对承包人有关人员发生的违章违法行为及相关问题，则有权教育、制止和责成其限期整改，必要时可按责任违约给予相应的经济处理(500</w:t>
      </w:r>
      <w:r>
        <w:rPr>
          <w:rFonts w:hint="eastAsia" w:ascii="宋体" w:hAnsi="宋体"/>
          <w:color w:val="auto"/>
          <w:szCs w:val="21"/>
          <w:highlight w:val="none"/>
        </w:rPr>
        <w:t>至</w:t>
      </w:r>
      <w:r>
        <w:rPr>
          <w:rFonts w:ascii="宋体" w:hAnsi="宋体"/>
          <w:color w:val="auto"/>
          <w:szCs w:val="21"/>
          <w:highlight w:val="none"/>
        </w:rPr>
        <w:t>1000元／次)。</w:t>
      </w:r>
    </w:p>
    <w:p>
      <w:pPr>
        <w:snapToGrid w:val="0"/>
        <w:spacing w:line="360" w:lineRule="auto"/>
        <w:ind w:firstLine="480"/>
        <w:rPr>
          <w:rFonts w:ascii="宋体" w:hAnsi="宋体"/>
          <w:color w:val="auto"/>
          <w:szCs w:val="21"/>
          <w:highlight w:val="none"/>
        </w:rPr>
      </w:pPr>
      <w:r>
        <w:rPr>
          <w:rFonts w:ascii="宋体" w:hAnsi="宋体"/>
          <w:color w:val="auto"/>
          <w:szCs w:val="21"/>
          <w:highlight w:val="none"/>
        </w:rPr>
        <w:t>4．承包人的违章违法行为，发包人有权对其进行经济处理的是指：</w:t>
      </w:r>
    </w:p>
    <w:p>
      <w:pPr>
        <w:snapToGrid w:val="0"/>
        <w:spacing w:line="360" w:lineRule="auto"/>
        <w:ind w:firstLine="480"/>
        <w:rPr>
          <w:rFonts w:ascii="宋体" w:hAnsi="宋体"/>
          <w:color w:val="auto"/>
          <w:szCs w:val="21"/>
          <w:highlight w:val="none"/>
        </w:rPr>
      </w:pPr>
      <w:r>
        <w:rPr>
          <w:rFonts w:ascii="宋体" w:hAnsi="宋体"/>
          <w:color w:val="auto"/>
          <w:szCs w:val="21"/>
          <w:highlight w:val="none"/>
        </w:rPr>
        <w:t>(1)未经公安消防部门审核批准，擅自使用</w:t>
      </w:r>
      <w:r>
        <w:rPr>
          <w:rFonts w:hint="eastAsia" w:ascii="宋体" w:hAnsi="宋体"/>
          <w:color w:val="auto"/>
          <w:szCs w:val="21"/>
          <w:highlight w:val="none"/>
        </w:rPr>
        <w:t>液</w:t>
      </w:r>
      <w:r>
        <w:rPr>
          <w:rFonts w:ascii="宋体" w:hAnsi="宋体"/>
          <w:color w:val="auto"/>
          <w:szCs w:val="21"/>
          <w:highlight w:val="none"/>
        </w:rPr>
        <w:t>化气钢瓶或违章储存易燃、易爆危险物品尚未造成后果的。</w:t>
      </w:r>
    </w:p>
    <w:p>
      <w:pPr>
        <w:snapToGrid w:val="0"/>
        <w:spacing w:line="360" w:lineRule="auto"/>
        <w:ind w:firstLine="480"/>
        <w:rPr>
          <w:rFonts w:ascii="宋体" w:hAnsi="宋体"/>
          <w:color w:val="auto"/>
          <w:szCs w:val="21"/>
          <w:highlight w:val="none"/>
        </w:rPr>
      </w:pPr>
      <w:r>
        <w:rPr>
          <w:rFonts w:ascii="宋体" w:hAnsi="宋体"/>
          <w:color w:val="auto"/>
          <w:szCs w:val="21"/>
          <w:highlight w:val="none"/>
        </w:rPr>
        <w:t>(2)未严格</w:t>
      </w:r>
      <w:r>
        <w:rPr>
          <w:rFonts w:hint="eastAsia" w:ascii="宋体" w:hAnsi="宋体"/>
          <w:color w:val="auto"/>
          <w:szCs w:val="21"/>
          <w:highlight w:val="none"/>
        </w:rPr>
        <w:t>按</w:t>
      </w:r>
      <w:r>
        <w:rPr>
          <w:rFonts w:ascii="宋体" w:hAnsi="宋体"/>
          <w:color w:val="auto"/>
          <w:szCs w:val="21"/>
          <w:highlight w:val="none"/>
        </w:rPr>
        <w:t>本公司《施工现场动用明火管理规定》进行动火作业尚未造成后果的。</w:t>
      </w:r>
    </w:p>
    <w:p>
      <w:pPr>
        <w:snapToGrid w:val="0"/>
        <w:spacing w:line="360" w:lineRule="auto"/>
        <w:ind w:firstLine="480"/>
        <w:rPr>
          <w:rFonts w:ascii="宋体" w:hAnsi="宋体"/>
          <w:color w:val="auto"/>
          <w:szCs w:val="21"/>
          <w:highlight w:val="none"/>
        </w:rPr>
      </w:pPr>
      <w:r>
        <w:rPr>
          <w:rFonts w:ascii="宋体" w:hAnsi="宋体"/>
          <w:color w:val="auto"/>
          <w:szCs w:val="21"/>
          <w:highlight w:val="none"/>
        </w:rPr>
        <w:t>(3)施工区域内发生聚众斗殴、赌博、收看淫秽录像等影响工地治安秩序的违法行为及集体宿舍内违章男女混居的。</w:t>
      </w:r>
    </w:p>
    <w:p>
      <w:pPr>
        <w:snapToGrid w:val="0"/>
        <w:spacing w:line="360" w:lineRule="auto"/>
        <w:ind w:firstLine="480"/>
        <w:rPr>
          <w:rFonts w:ascii="宋体" w:hAnsi="宋体"/>
          <w:color w:val="auto"/>
          <w:szCs w:val="21"/>
          <w:highlight w:val="none"/>
        </w:rPr>
      </w:pPr>
      <w:r>
        <w:rPr>
          <w:rFonts w:ascii="宋体" w:hAnsi="宋体"/>
          <w:color w:val="auto"/>
          <w:szCs w:val="21"/>
          <w:highlight w:val="none"/>
        </w:rPr>
        <w:t>(4)违反《施工现场用电安全管理规定》用电，擅自使用电炉、煤油炉、电热毯、电</w:t>
      </w:r>
      <w:r>
        <w:rPr>
          <w:rFonts w:hint="eastAsia" w:ascii="宋体" w:hAnsi="宋体"/>
          <w:color w:val="auto"/>
          <w:szCs w:val="21"/>
          <w:highlight w:val="none"/>
        </w:rPr>
        <w:t>熨</w:t>
      </w:r>
      <w:r>
        <w:rPr>
          <w:rFonts w:ascii="宋体" w:hAnsi="宋体"/>
          <w:color w:val="auto"/>
          <w:szCs w:val="21"/>
          <w:highlight w:val="none"/>
        </w:rPr>
        <w:t>斗等及带有明火的各类电取热器，或擅自使用高能耗灯具取暖、烘烤物品及在禁火区域内违章吸烟的。</w:t>
      </w:r>
    </w:p>
    <w:p>
      <w:pPr>
        <w:snapToGrid w:val="0"/>
        <w:spacing w:line="360" w:lineRule="auto"/>
        <w:ind w:firstLine="480"/>
        <w:rPr>
          <w:rFonts w:ascii="宋体" w:hAnsi="宋体"/>
          <w:color w:val="auto"/>
          <w:szCs w:val="21"/>
          <w:highlight w:val="none"/>
        </w:rPr>
      </w:pPr>
      <w:r>
        <w:rPr>
          <w:rFonts w:ascii="宋体" w:hAnsi="宋体"/>
          <w:color w:val="auto"/>
          <w:szCs w:val="21"/>
          <w:highlight w:val="none"/>
        </w:rPr>
        <w:t>5．承包人在其责任区域内发生严重违法犯罪案件或重特大火灾事故的，由公安司法部门调查处理：但发包人可按其造成的后果和影响，对承包人或其治安、防火第一责任人行使评选先进集体、先进个人否决权。同时，还可对承包人进行2000</w:t>
      </w:r>
      <w:r>
        <w:rPr>
          <w:rFonts w:hint="eastAsia" w:ascii="宋体" w:hAnsi="宋体"/>
          <w:color w:val="auto"/>
          <w:szCs w:val="21"/>
          <w:highlight w:val="none"/>
        </w:rPr>
        <w:t>至</w:t>
      </w:r>
      <w:r>
        <w:rPr>
          <w:rFonts w:ascii="宋体" w:hAnsi="宋体"/>
          <w:color w:val="auto"/>
          <w:szCs w:val="21"/>
          <w:highlight w:val="none"/>
        </w:rPr>
        <w:t>50000元的一次性责任违约经济处理。</w:t>
      </w:r>
    </w:p>
    <w:p>
      <w:pPr>
        <w:snapToGrid w:val="0"/>
        <w:spacing w:line="360" w:lineRule="auto"/>
        <w:ind w:firstLine="480"/>
        <w:rPr>
          <w:rFonts w:ascii="宋体" w:hAnsi="宋体"/>
          <w:color w:val="auto"/>
          <w:szCs w:val="21"/>
          <w:highlight w:val="none"/>
        </w:rPr>
      </w:pPr>
      <w:r>
        <w:rPr>
          <w:rFonts w:ascii="宋体" w:hAnsi="宋体"/>
          <w:color w:val="auto"/>
          <w:szCs w:val="21"/>
          <w:highlight w:val="none"/>
        </w:rPr>
        <w:t>6．发包人对承包人的责任违约经济处理，由发包人开具书面通知单给承包人认可。处理款从承包人工程款中直接扣除。</w:t>
      </w:r>
    </w:p>
    <w:p>
      <w:pPr>
        <w:snapToGrid w:val="0"/>
        <w:spacing w:line="360" w:lineRule="auto"/>
        <w:ind w:firstLine="480"/>
        <w:rPr>
          <w:rFonts w:ascii="宋体" w:hAnsi="宋体"/>
          <w:color w:val="auto"/>
          <w:szCs w:val="21"/>
          <w:highlight w:val="none"/>
        </w:rPr>
      </w:pPr>
      <w:r>
        <w:rPr>
          <w:rFonts w:ascii="宋体" w:hAnsi="宋体"/>
          <w:color w:val="auto"/>
          <w:szCs w:val="21"/>
          <w:highlight w:val="none"/>
        </w:rPr>
        <w:t>7．根据整个工地治安防范的需要，如确需增设或外聘警卫值勤人员时，发包人可按“协商、集中”的原则决定实施方案，其费用发包人按实际需要由涉及到的各施工单位分担，承包人不得推委。</w:t>
      </w:r>
    </w:p>
    <w:p>
      <w:pPr>
        <w:snapToGrid w:val="0"/>
        <w:spacing w:line="360" w:lineRule="auto"/>
        <w:ind w:firstLine="480"/>
        <w:rPr>
          <w:rFonts w:ascii="宋体" w:hAnsi="宋体"/>
          <w:color w:val="auto"/>
          <w:szCs w:val="21"/>
          <w:highlight w:val="none"/>
        </w:rPr>
      </w:pPr>
      <w:r>
        <w:rPr>
          <w:rFonts w:ascii="宋体" w:hAnsi="宋体"/>
          <w:color w:val="auto"/>
          <w:szCs w:val="21"/>
          <w:highlight w:val="none"/>
        </w:rPr>
        <w:t>二、承包人的权利和义务</w:t>
      </w:r>
    </w:p>
    <w:p>
      <w:pPr>
        <w:snapToGrid w:val="0"/>
        <w:spacing w:line="360" w:lineRule="auto"/>
        <w:ind w:firstLine="480"/>
        <w:rPr>
          <w:rFonts w:ascii="宋体" w:hAnsi="宋体"/>
          <w:color w:val="auto"/>
          <w:szCs w:val="21"/>
          <w:highlight w:val="none"/>
        </w:rPr>
      </w:pPr>
      <w:r>
        <w:rPr>
          <w:rFonts w:ascii="宋体" w:hAnsi="宋体"/>
          <w:color w:val="auto"/>
          <w:szCs w:val="21"/>
          <w:highlight w:val="none"/>
        </w:rPr>
        <w:t>1．承包人在进入工地后，应及时明确落实工地治安、防火第一责任人专</w:t>
      </w:r>
      <w:r>
        <w:rPr>
          <w:rFonts w:hint="eastAsia" w:ascii="宋体" w:hAnsi="宋体"/>
          <w:color w:val="auto"/>
          <w:szCs w:val="21"/>
          <w:highlight w:val="none"/>
        </w:rPr>
        <w:t>（</w:t>
      </w:r>
      <w:r>
        <w:rPr>
          <w:rFonts w:ascii="宋体" w:hAnsi="宋体"/>
          <w:color w:val="auto"/>
          <w:szCs w:val="21"/>
          <w:highlight w:val="none"/>
        </w:rPr>
        <w:t>兼</w:t>
      </w:r>
      <w:r>
        <w:rPr>
          <w:rFonts w:hint="eastAsia" w:ascii="宋体" w:hAnsi="宋体"/>
          <w:color w:val="auto"/>
          <w:szCs w:val="21"/>
          <w:highlight w:val="none"/>
        </w:rPr>
        <w:t>）</w:t>
      </w:r>
      <w:r>
        <w:rPr>
          <w:rFonts w:ascii="宋体" w:hAnsi="宋体"/>
          <w:color w:val="auto"/>
          <w:szCs w:val="21"/>
          <w:highlight w:val="none"/>
        </w:rPr>
        <w:t>职保卫消防干部及治安保卫组织网络，书面报发包人备案。</w:t>
      </w:r>
    </w:p>
    <w:p>
      <w:pPr>
        <w:snapToGrid w:val="0"/>
        <w:spacing w:line="360" w:lineRule="auto"/>
        <w:ind w:firstLine="480"/>
        <w:rPr>
          <w:rFonts w:ascii="宋体" w:hAnsi="宋体"/>
          <w:color w:val="auto"/>
          <w:szCs w:val="21"/>
          <w:highlight w:val="none"/>
        </w:rPr>
      </w:pPr>
      <w:r>
        <w:rPr>
          <w:rFonts w:ascii="宋体" w:hAnsi="宋体"/>
          <w:color w:val="auto"/>
          <w:szCs w:val="21"/>
          <w:highlight w:val="none"/>
        </w:rPr>
        <w:t>2．承包人在施工期间必须遵守、执行国家和本市颁布的治安、消防方面的法律、法规，认真落实发包人制定的《施工现场治安防火工作管理规范</w:t>
      </w:r>
      <w:r>
        <w:rPr>
          <w:rFonts w:hint="eastAsia" w:ascii="宋体" w:hAnsi="宋体"/>
          <w:color w:val="auto"/>
          <w:szCs w:val="21"/>
          <w:highlight w:val="none"/>
        </w:rPr>
        <w:t>》，</w:t>
      </w:r>
      <w:r>
        <w:rPr>
          <w:rFonts w:ascii="宋体" w:hAnsi="宋体"/>
          <w:color w:val="auto"/>
          <w:szCs w:val="21"/>
          <w:highlight w:val="none"/>
        </w:rPr>
        <w:t>服从管理，对本责任区域内的治安稳定、防火安全，实施全面负责，确保不发生重大治安、刑事案件和火灾事故。</w:t>
      </w:r>
    </w:p>
    <w:p>
      <w:pPr>
        <w:snapToGrid w:val="0"/>
        <w:spacing w:line="360" w:lineRule="auto"/>
        <w:ind w:firstLine="480"/>
        <w:rPr>
          <w:rFonts w:ascii="宋体" w:hAnsi="宋体"/>
          <w:color w:val="auto"/>
          <w:szCs w:val="21"/>
          <w:highlight w:val="none"/>
        </w:rPr>
      </w:pPr>
      <w:r>
        <w:rPr>
          <w:rFonts w:ascii="宋体" w:hAnsi="宋体"/>
          <w:color w:val="auto"/>
          <w:szCs w:val="21"/>
          <w:highlight w:val="none"/>
        </w:rPr>
        <w:t>3．承包人的治安防火工作，除接受其上级主管单位的领导外，还应主动接受上海城市轨道交通公安分局和发包人的业务指导、督促、检查。对公安机关和发包人布置的</w:t>
      </w:r>
      <w:r>
        <w:rPr>
          <w:rFonts w:hint="eastAsia" w:ascii="宋体" w:hAnsi="宋体"/>
          <w:color w:val="auto"/>
          <w:szCs w:val="21"/>
          <w:highlight w:val="none"/>
        </w:rPr>
        <w:t>“</w:t>
      </w:r>
      <w:r>
        <w:rPr>
          <w:rFonts w:ascii="宋体" w:hAnsi="宋体"/>
          <w:color w:val="auto"/>
          <w:szCs w:val="21"/>
          <w:highlight w:val="none"/>
        </w:rPr>
        <w:t>创建治安合格工地</w:t>
      </w:r>
      <w:r>
        <w:rPr>
          <w:rFonts w:hint="eastAsia" w:ascii="宋体" w:hAnsi="宋体"/>
          <w:color w:val="auto"/>
          <w:szCs w:val="21"/>
          <w:highlight w:val="none"/>
        </w:rPr>
        <w:t>”</w:t>
      </w:r>
      <w:r>
        <w:rPr>
          <w:rFonts w:ascii="宋体" w:hAnsi="宋体"/>
          <w:color w:val="auto"/>
          <w:szCs w:val="21"/>
          <w:highlight w:val="none"/>
        </w:rPr>
        <w:t>等工作，要积极地贯彻执行，对公安部门和发包人在检查中查获的各类隐患问题，应在规定的期限内组织整改或采取相应的防范措施，确保安全。</w:t>
      </w:r>
    </w:p>
    <w:p>
      <w:pPr>
        <w:snapToGrid w:val="0"/>
        <w:spacing w:line="360" w:lineRule="auto"/>
        <w:ind w:firstLine="480"/>
        <w:rPr>
          <w:rFonts w:ascii="宋体" w:hAnsi="宋体"/>
          <w:color w:val="auto"/>
          <w:szCs w:val="21"/>
          <w:highlight w:val="none"/>
        </w:rPr>
      </w:pPr>
      <w:r>
        <w:rPr>
          <w:rFonts w:ascii="宋体" w:hAnsi="宋体"/>
          <w:color w:val="auto"/>
          <w:szCs w:val="21"/>
          <w:highlight w:val="none"/>
        </w:rPr>
        <w:t>4．一旦工地上发生治安、刑事案件或火灾事故，承包人应在积极处置、保护现场的同时，立即向公安部门和发包人报告，接受调查、处理。所造成(包括对发包人)的损失，由承包人承担。</w:t>
      </w:r>
    </w:p>
    <w:p>
      <w:pPr>
        <w:snapToGrid w:val="0"/>
        <w:spacing w:line="360" w:lineRule="auto"/>
        <w:ind w:firstLine="480"/>
        <w:rPr>
          <w:rFonts w:ascii="宋体" w:hAnsi="宋体"/>
          <w:color w:val="auto"/>
          <w:szCs w:val="21"/>
          <w:highlight w:val="none"/>
        </w:rPr>
      </w:pPr>
      <w:r>
        <w:rPr>
          <w:rFonts w:ascii="宋体" w:hAnsi="宋体"/>
          <w:color w:val="auto"/>
          <w:szCs w:val="21"/>
          <w:highlight w:val="none"/>
        </w:rPr>
        <w:t>5．承包人对因违章违法行为所受的责任违约经济处理有异议的，可提出申诉，要求复议。如发现发包人工作人员在工作中有滥用职权、营私舞弊、有意刁难等违法行为的，有权向发包人领导或有关机关检举揭发，要求处理。</w:t>
      </w:r>
    </w:p>
    <w:p>
      <w:pPr>
        <w:snapToGrid w:val="0"/>
        <w:spacing w:line="360" w:lineRule="auto"/>
        <w:ind w:firstLine="480"/>
        <w:rPr>
          <w:rFonts w:ascii="宋体" w:hAnsi="宋体"/>
          <w:color w:val="auto"/>
          <w:szCs w:val="21"/>
          <w:highlight w:val="none"/>
        </w:rPr>
      </w:pPr>
      <w:r>
        <w:rPr>
          <w:rFonts w:ascii="宋体" w:hAnsi="宋体"/>
          <w:color w:val="auto"/>
          <w:szCs w:val="21"/>
          <w:highlight w:val="none"/>
        </w:rPr>
        <w:t>6.承包人应该接受发包人安保部门的监督、检查和指导，积极落实发包方安保部门发出的整改指令。</w:t>
      </w:r>
    </w:p>
    <w:p>
      <w:pPr>
        <w:snapToGrid w:val="0"/>
        <w:spacing w:line="360" w:lineRule="auto"/>
        <w:ind w:firstLine="480"/>
        <w:rPr>
          <w:rFonts w:ascii="宋体" w:hAnsi="宋体"/>
          <w:color w:val="auto"/>
          <w:szCs w:val="21"/>
          <w:highlight w:val="none"/>
        </w:rPr>
      </w:pPr>
      <w:r>
        <w:rPr>
          <w:rFonts w:ascii="宋体" w:hAnsi="宋体"/>
          <w:color w:val="auto"/>
          <w:szCs w:val="21"/>
          <w:highlight w:val="none"/>
        </w:rPr>
        <w:t>三、其他</w:t>
      </w:r>
    </w:p>
    <w:p>
      <w:pPr>
        <w:snapToGrid w:val="0"/>
        <w:spacing w:line="360" w:lineRule="auto"/>
        <w:ind w:firstLine="480"/>
        <w:rPr>
          <w:rFonts w:ascii="宋体" w:hAnsi="宋体"/>
          <w:color w:val="auto"/>
          <w:szCs w:val="21"/>
          <w:highlight w:val="none"/>
        </w:rPr>
      </w:pPr>
      <w:r>
        <w:rPr>
          <w:rFonts w:ascii="宋体" w:hAnsi="宋体"/>
          <w:color w:val="auto"/>
          <w:szCs w:val="21"/>
          <w:highlight w:val="none"/>
        </w:rPr>
        <w:t>1．本协议中未涉及到的有关条款，甲乙双方可根据需要协商补充修改。如遇有与国家和本市的有关部门法规不符的应按国家和本市的有关规定执行。</w:t>
      </w:r>
    </w:p>
    <w:p>
      <w:pPr>
        <w:snapToGrid w:val="0"/>
        <w:spacing w:line="360" w:lineRule="auto"/>
        <w:ind w:firstLine="480"/>
        <w:rPr>
          <w:rFonts w:ascii="宋体" w:hAnsi="宋体"/>
          <w:color w:val="auto"/>
          <w:szCs w:val="21"/>
          <w:highlight w:val="none"/>
        </w:rPr>
      </w:pPr>
      <w:r>
        <w:rPr>
          <w:rFonts w:ascii="宋体" w:hAnsi="宋体"/>
          <w:color w:val="auto"/>
          <w:szCs w:val="21"/>
          <w:highlight w:val="none"/>
        </w:rPr>
        <w:t>2．本协议作为工程合同的附件在工程合同正式签约后生效，与工程合同具有同等法律效力。工程合同期满，本协议终止。</w:t>
      </w:r>
    </w:p>
    <w:p>
      <w:pPr>
        <w:snapToGrid w:val="0"/>
        <w:spacing w:line="360" w:lineRule="auto"/>
        <w:ind w:firstLine="48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w:t>
      </w:r>
      <w:r>
        <w:rPr>
          <w:rFonts w:hint="eastAsia" w:ascii="宋体" w:hAnsi="宋体"/>
          <w:color w:val="auto"/>
          <w:szCs w:val="21"/>
          <w:highlight w:val="none"/>
          <w:u w:val="single"/>
        </w:rPr>
        <w:t xml:space="preserve">              </w:t>
      </w:r>
      <w:r>
        <w:rPr>
          <w:rFonts w:hint="eastAsia" w:ascii="宋体" w:hAnsi="宋体"/>
          <w:color w:val="auto"/>
          <w:szCs w:val="21"/>
          <w:highlight w:val="none"/>
        </w:rPr>
        <w:t>(单位公章)       承包人：</w:t>
      </w:r>
      <w:r>
        <w:rPr>
          <w:rFonts w:hint="eastAsia" w:ascii="宋体" w:hAnsi="宋体"/>
          <w:color w:val="auto"/>
          <w:szCs w:val="21"/>
          <w:highlight w:val="none"/>
          <w:u w:val="single"/>
        </w:rPr>
        <w:t xml:space="preserve">                </w:t>
      </w:r>
      <w:r>
        <w:rPr>
          <w:rFonts w:hint="eastAsia" w:ascii="宋体" w:hAnsi="宋体"/>
          <w:color w:val="auto"/>
          <w:szCs w:val="21"/>
          <w:highlight w:val="none"/>
        </w:rPr>
        <w:t>(单位公章)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法定地址：</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法定地址：</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法定代表人或其                         法定代表人或其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     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snapToGrid w:val="0"/>
        <w:spacing w:line="360" w:lineRule="auto"/>
        <w:ind w:firstLine="482"/>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电话：</w:t>
      </w:r>
      <w:r>
        <w:rPr>
          <w:rFonts w:hint="eastAsia" w:ascii="宋体" w:hAnsi="宋体"/>
          <w:color w:val="auto"/>
          <w:szCs w:val="21"/>
          <w:highlight w:val="none"/>
          <w:u w:val="single"/>
        </w:rPr>
        <w:t xml:space="preserve">                       </w:t>
      </w:r>
    </w:p>
    <w:p>
      <w:pPr>
        <w:snapToGrid w:val="0"/>
        <w:spacing w:line="360" w:lineRule="auto"/>
        <w:ind w:firstLine="480"/>
        <w:rPr>
          <w:rFonts w:ascii="宋体" w:hAnsi="宋体"/>
          <w:color w:val="auto"/>
          <w:szCs w:val="21"/>
          <w:highlight w:val="none"/>
        </w:rPr>
      </w:pPr>
      <w:r>
        <w:rPr>
          <w:rFonts w:ascii="宋体" w:hAnsi="宋体"/>
          <w:color w:val="auto"/>
          <w:szCs w:val="21"/>
          <w:highlight w:val="none"/>
        </w:rPr>
        <w:t xml:space="preserve">签约日期：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bookmarkEnd w:id="85"/>
    <w:bookmarkEnd w:id="86"/>
    <w:bookmarkEnd w:id="87"/>
    <w:p>
      <w:pPr>
        <w:widowControl/>
        <w:jc w:val="left"/>
        <w:rPr>
          <w:rFonts w:ascii="宋体" w:hAnsi="宋体"/>
          <w:b/>
          <w:color w:val="auto"/>
          <w:sz w:val="52"/>
          <w:szCs w:val="52"/>
          <w:highlight w:val="none"/>
        </w:rPr>
      </w:pPr>
      <w:r>
        <w:rPr>
          <w:rFonts w:ascii="宋体" w:hAnsi="宋体"/>
          <w:b/>
          <w:color w:val="auto"/>
          <w:sz w:val="52"/>
          <w:szCs w:val="52"/>
          <w:highlight w:val="none"/>
        </w:rPr>
        <w:br w:type="page"/>
      </w:r>
    </w:p>
    <w:p>
      <w:pPr>
        <w:rPr>
          <w:color w:val="auto"/>
          <w:highlight w:val="none"/>
        </w:rPr>
      </w:pPr>
    </w:p>
    <w:p>
      <w:pPr>
        <w:spacing w:line="360" w:lineRule="auto"/>
        <w:jc w:val="center"/>
        <w:rPr>
          <w:rFonts w:ascii="宋体" w:hAnsi="宋体"/>
          <w:b/>
          <w:color w:val="auto"/>
          <w:sz w:val="52"/>
          <w:szCs w:val="52"/>
          <w:highlight w:val="none"/>
        </w:rPr>
      </w:pPr>
    </w:p>
    <w:p>
      <w:pPr>
        <w:spacing w:line="360" w:lineRule="auto"/>
        <w:jc w:val="center"/>
        <w:rPr>
          <w:rFonts w:ascii="宋体" w:hAnsi="宋体"/>
          <w:b/>
          <w:color w:val="auto"/>
          <w:sz w:val="52"/>
          <w:szCs w:val="52"/>
          <w:highlight w:val="none"/>
        </w:rPr>
      </w:pPr>
    </w:p>
    <w:p>
      <w:pPr>
        <w:spacing w:line="360" w:lineRule="auto"/>
        <w:jc w:val="center"/>
        <w:rPr>
          <w:rFonts w:ascii="宋体" w:hAnsi="宋体"/>
          <w:b/>
          <w:color w:val="auto"/>
          <w:sz w:val="52"/>
          <w:szCs w:val="52"/>
          <w:highlight w:val="none"/>
        </w:rPr>
      </w:pPr>
    </w:p>
    <w:p>
      <w:pPr>
        <w:spacing w:line="360" w:lineRule="auto"/>
        <w:jc w:val="center"/>
        <w:rPr>
          <w:rFonts w:ascii="宋体" w:hAnsi="宋体"/>
          <w:b/>
          <w:color w:val="auto"/>
          <w:sz w:val="52"/>
          <w:szCs w:val="52"/>
          <w:highlight w:val="none"/>
        </w:rPr>
      </w:pPr>
    </w:p>
    <w:p>
      <w:pPr>
        <w:spacing w:line="360" w:lineRule="auto"/>
        <w:jc w:val="center"/>
        <w:rPr>
          <w:rFonts w:ascii="宋体" w:hAnsi="宋体"/>
          <w:b/>
          <w:color w:val="auto"/>
          <w:sz w:val="52"/>
          <w:szCs w:val="52"/>
          <w:highlight w:val="none"/>
        </w:rPr>
      </w:pPr>
    </w:p>
    <w:p>
      <w:pPr>
        <w:spacing w:line="360" w:lineRule="auto"/>
        <w:jc w:val="center"/>
        <w:outlineLvl w:val="0"/>
        <w:rPr>
          <w:rFonts w:ascii="宋体" w:hAnsi="宋体"/>
          <w:b/>
          <w:color w:val="auto"/>
          <w:sz w:val="52"/>
          <w:szCs w:val="52"/>
          <w:highlight w:val="none"/>
        </w:rPr>
      </w:pPr>
      <w:bookmarkStart w:id="126" w:name="_Toc17882832"/>
      <w:r>
        <w:rPr>
          <w:rFonts w:hint="eastAsia" w:ascii="宋体" w:hAnsi="宋体"/>
          <w:b/>
          <w:color w:val="auto"/>
          <w:sz w:val="52"/>
          <w:szCs w:val="52"/>
          <w:highlight w:val="none"/>
        </w:rPr>
        <w:t>第五章  工程量清单</w:t>
      </w:r>
      <w:bookmarkEnd w:id="88"/>
      <w:bookmarkEnd w:id="89"/>
      <w:bookmarkEnd w:id="126"/>
    </w:p>
    <w:p>
      <w:pPr>
        <w:spacing w:line="360" w:lineRule="auto"/>
        <w:ind w:right="960"/>
        <w:jc w:val="center"/>
        <w:rPr>
          <w:rFonts w:asciiTheme="minorEastAsia" w:hAnsiTheme="minorEastAsia" w:eastAsiaTheme="minorEastAsia"/>
          <w:color w:val="auto"/>
          <w:szCs w:val="21"/>
          <w:highlight w:val="none"/>
        </w:rPr>
      </w:pPr>
      <w:r>
        <w:rPr>
          <w:rFonts w:asciiTheme="minorEastAsia" w:hAnsiTheme="minorEastAsia" w:eastAsiaTheme="minorEastAsia"/>
          <w:color w:val="auto"/>
          <w:sz w:val="28"/>
          <w:szCs w:val="28"/>
          <w:highlight w:val="none"/>
        </w:rPr>
        <w:br w:type="page"/>
      </w:r>
    </w:p>
    <w:p>
      <w:pPr>
        <w:spacing w:line="360" w:lineRule="auto"/>
        <w:ind w:right="560"/>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u w:val="single"/>
        </w:rPr>
      </w:pPr>
      <w:bookmarkStart w:id="127" w:name="_Toc364679598"/>
      <w:bookmarkStart w:id="128" w:name="_Toc347826322"/>
    </w:p>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工 程</w:t>
      </w:r>
    </w:p>
    <w:p>
      <w:pPr>
        <w:spacing w:line="360" w:lineRule="auto"/>
        <w:jc w:val="center"/>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w:t>
      </w: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 程 量 清 单</w:t>
      </w:r>
    </w:p>
    <w:p>
      <w:pPr>
        <w:spacing w:line="360" w:lineRule="auto"/>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p>
    <w:p>
      <w:pPr>
        <w:spacing w:line="360" w:lineRule="auto"/>
        <w:ind w:firstLine="4134" w:firstLineChars="1969"/>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工程造价咨询企业或</w:t>
      </w:r>
    </w:p>
    <w:p>
      <w:pPr>
        <w:spacing w:line="360" w:lineRule="auto"/>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采购人：</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 xml:space="preserve">           采购代理机构</w:t>
      </w:r>
      <w:r>
        <w:rPr>
          <w:rFonts w:hint="eastAsia" w:asciiTheme="minorEastAsia" w:hAnsiTheme="minorEastAsia" w:eastAsiaTheme="minorEastAsia"/>
          <w:color w:val="auto"/>
          <w:szCs w:val="21"/>
          <w:highlight w:val="none"/>
          <w:u w:val="single"/>
        </w:rPr>
        <w:t xml:space="preserve">                       </w:t>
      </w:r>
    </w:p>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（单位公章）                              （单位公章）</w:t>
      </w:r>
    </w:p>
    <w:p>
      <w:pPr>
        <w:spacing w:line="360" w:lineRule="auto"/>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                             法定代表人</w:t>
      </w:r>
    </w:p>
    <w:p>
      <w:pPr>
        <w:spacing w:line="360" w:lineRule="auto"/>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或其授权人：</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 xml:space="preserve">            或其授权人：</w:t>
      </w:r>
      <w:r>
        <w:rPr>
          <w:rFonts w:hint="eastAsia" w:asciiTheme="minorEastAsia" w:hAnsiTheme="minorEastAsia" w:eastAsiaTheme="minorEastAsia"/>
          <w:color w:val="auto"/>
          <w:szCs w:val="21"/>
          <w:highlight w:val="none"/>
          <w:u w:val="single"/>
        </w:rPr>
        <w:t xml:space="preserve">                 </w:t>
      </w:r>
    </w:p>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（签字或盖章）                              （签字或盖章）</w:t>
      </w:r>
    </w:p>
    <w:p>
      <w:pPr>
        <w:spacing w:line="360" w:lineRule="auto"/>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编  制  人：</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 xml:space="preserve">          复  核  人：</w:t>
      </w:r>
      <w:r>
        <w:rPr>
          <w:rFonts w:hint="eastAsia" w:asciiTheme="minorEastAsia" w:hAnsiTheme="minorEastAsia" w:eastAsiaTheme="minorEastAsia"/>
          <w:color w:val="auto"/>
          <w:szCs w:val="21"/>
          <w:highlight w:val="none"/>
          <w:u w:val="single"/>
        </w:rPr>
        <w:t xml:space="preserve">                 </w:t>
      </w:r>
    </w:p>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w:t>
      </w:r>
    </w:p>
    <w:p>
      <w:pPr>
        <w:spacing w:line="360" w:lineRule="auto"/>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编制时间：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           复核时间：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w:t>
      </w:r>
    </w:p>
    <w:p>
      <w:pPr>
        <w:spacing w:line="360"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p>
    <w:bookmarkEnd w:id="127"/>
    <w:bookmarkEnd w:id="128"/>
    <w:p>
      <w:pPr>
        <w:spacing w:line="360" w:lineRule="auto"/>
        <w:jc w:val="center"/>
        <w:rPr>
          <w:rFonts w:ascii="宋体" w:hAnsi="宋体"/>
          <w:color w:val="auto"/>
          <w:szCs w:val="21"/>
          <w:highlight w:val="none"/>
        </w:rPr>
      </w:pPr>
      <w:r>
        <w:rPr>
          <w:rFonts w:hint="eastAsia" w:ascii="宋体" w:hAnsi="宋体"/>
          <w:color w:val="auto"/>
          <w:szCs w:val="21"/>
          <w:highlight w:val="none"/>
        </w:rPr>
        <w:t>总  说  明</w:t>
      </w:r>
    </w:p>
    <w:p>
      <w:pPr>
        <w:spacing w:line="360" w:lineRule="auto"/>
        <w:outlineLvl w:val="2"/>
        <w:rPr>
          <w:rFonts w:ascii="宋体" w:hAnsi="宋体"/>
          <w:b/>
          <w:color w:val="auto"/>
          <w:szCs w:val="21"/>
          <w:highlight w:val="none"/>
        </w:rPr>
      </w:pPr>
      <w:bookmarkStart w:id="129" w:name="_Toc426964747"/>
      <w:r>
        <w:rPr>
          <w:rFonts w:hint="eastAsia" w:ascii="宋体" w:hAnsi="宋体"/>
          <w:b/>
          <w:color w:val="auto"/>
          <w:szCs w:val="21"/>
          <w:highlight w:val="none"/>
        </w:rPr>
        <w:t>1．工程量清单说明</w:t>
      </w:r>
      <w:bookmarkEnd w:id="129"/>
    </w:p>
    <w:p>
      <w:pPr>
        <w:spacing w:line="360" w:lineRule="auto"/>
        <w:ind w:firstLine="424" w:firstLineChars="202"/>
        <w:jc w:val="both"/>
        <w:rPr>
          <w:rFonts w:ascii="宋体" w:hAnsi="宋体" w:cs="黑体"/>
          <w:color w:val="auto"/>
          <w:szCs w:val="21"/>
          <w:highlight w:val="none"/>
        </w:rPr>
      </w:pPr>
      <w:bookmarkStart w:id="130" w:name="_Toc426964748"/>
      <w:r>
        <w:rPr>
          <w:rFonts w:hint="eastAsia" w:ascii="宋体" w:hAnsi="宋体" w:cs="黑体"/>
          <w:color w:val="auto"/>
          <w:szCs w:val="21"/>
          <w:highlight w:val="none"/>
        </w:rPr>
        <w:t>1.1本工程量清单是依据中华人民共和国国家标准《建设工程工程量清单计价规范》及其上海市建设工程工程量计价应用规则（两者以下简称“计价规范”）和招标文件中包括的图纸等编制。计价规范中规定的工程量计算规则中没有的子目，应在本章第1.4款约定；计价规范中规定的工程量计算规则中没有且本章第1.4款也未约定的，双方协商确定；协商不成的，可向本市工程造价管理部门咨询或按照有合同约束力的图纸所标示尺寸的理论净量计算。计量采用中华人民共和国法定的基本计量单位。</w:t>
      </w:r>
    </w:p>
    <w:p>
      <w:pPr>
        <w:spacing w:line="360" w:lineRule="auto"/>
        <w:ind w:firstLine="424" w:firstLineChars="202"/>
        <w:jc w:val="both"/>
        <w:rPr>
          <w:rFonts w:ascii="宋体" w:hAnsi="宋体" w:cs="黑体"/>
          <w:color w:val="auto"/>
          <w:szCs w:val="21"/>
          <w:highlight w:val="none"/>
        </w:rPr>
      </w:pPr>
      <w:r>
        <w:rPr>
          <w:rFonts w:hint="eastAsia" w:ascii="宋体" w:hAnsi="宋体" w:cs="黑体"/>
          <w:color w:val="auto"/>
          <w:szCs w:val="21"/>
          <w:highlight w:val="none"/>
        </w:rPr>
        <w:t>1.2本工程量清单应与招标文件中的投标人须知、通用合同条款、专用合同条款、技术标准和要求及图纸等章节内容一起阅读和理解。</w:t>
      </w:r>
    </w:p>
    <w:p>
      <w:pPr>
        <w:spacing w:line="360" w:lineRule="auto"/>
        <w:ind w:firstLine="424" w:firstLineChars="202"/>
        <w:jc w:val="both"/>
        <w:rPr>
          <w:rFonts w:ascii="宋体" w:hAnsi="宋体" w:cs="黑体"/>
          <w:color w:val="auto"/>
          <w:szCs w:val="21"/>
          <w:highlight w:val="none"/>
        </w:rPr>
      </w:pPr>
      <w:r>
        <w:rPr>
          <w:rFonts w:hint="eastAsia" w:ascii="宋体" w:hAnsi="宋体" w:cs="黑体"/>
          <w:color w:val="auto"/>
          <w:szCs w:val="21"/>
          <w:highlight w:val="none"/>
        </w:rPr>
        <w:t>1.3本工程量清单是投标报价的共同基础，竣工结算的工程量按合同约定确定。合同价格的确定以及价款支付应遵循合同条款(包括通用合同条款和专用合同条款)、技术标准和要求以及本章的有关约定。</w:t>
      </w:r>
    </w:p>
    <w:p>
      <w:pPr>
        <w:spacing w:line="360" w:lineRule="auto"/>
        <w:ind w:firstLine="424" w:firstLineChars="202"/>
        <w:jc w:val="both"/>
        <w:rPr>
          <w:rFonts w:ascii="宋体" w:hAnsi="宋体" w:cs="黑体"/>
          <w:color w:val="auto"/>
          <w:szCs w:val="21"/>
          <w:highlight w:val="none"/>
        </w:rPr>
      </w:pPr>
      <w:r>
        <w:rPr>
          <w:rFonts w:hint="eastAsia" w:ascii="宋体" w:hAnsi="宋体" w:cs="黑体"/>
          <w:color w:val="auto"/>
          <w:szCs w:val="21"/>
          <w:highlight w:val="none"/>
        </w:rPr>
        <w:t>1.4本条第1.1款中约定的计量和计价规则适用于合同履约过程中工程量计量与价款支付、工程变更、索赔和工程结算。</w:t>
      </w:r>
    </w:p>
    <w:p>
      <w:pPr>
        <w:spacing w:line="360" w:lineRule="auto"/>
        <w:ind w:firstLine="424" w:firstLineChars="202"/>
        <w:jc w:val="both"/>
        <w:rPr>
          <w:rFonts w:ascii="宋体" w:hAnsi="宋体" w:cs="黑体"/>
          <w:color w:val="auto"/>
          <w:szCs w:val="21"/>
          <w:highlight w:val="none"/>
        </w:rPr>
      </w:pPr>
      <w:r>
        <w:rPr>
          <w:rFonts w:hint="eastAsia" w:ascii="宋体" w:hAnsi="宋体" w:cs="黑体"/>
          <w:color w:val="auto"/>
          <w:szCs w:val="21"/>
          <w:highlight w:val="none"/>
        </w:rPr>
        <w:t>1.5本条与下述第2条和第3条的说明内容是构成合同文件的已标价工程量清单的组成部分。</w:t>
      </w:r>
    </w:p>
    <w:p>
      <w:pPr>
        <w:spacing w:line="360" w:lineRule="auto"/>
        <w:outlineLvl w:val="2"/>
        <w:rPr>
          <w:rFonts w:ascii="宋体" w:hAnsi="宋体"/>
          <w:b/>
          <w:color w:val="auto"/>
          <w:szCs w:val="21"/>
          <w:highlight w:val="none"/>
        </w:rPr>
      </w:pPr>
      <w:r>
        <w:rPr>
          <w:rFonts w:hint="eastAsia" w:ascii="宋体" w:hAnsi="宋体"/>
          <w:b/>
          <w:color w:val="auto"/>
          <w:szCs w:val="21"/>
          <w:highlight w:val="none"/>
        </w:rPr>
        <w:t>2．报价说明</w:t>
      </w:r>
      <w:bookmarkEnd w:id="130"/>
    </w:p>
    <w:p>
      <w:pPr>
        <w:spacing w:line="360" w:lineRule="auto"/>
        <w:ind w:firstLine="424" w:firstLineChars="202"/>
        <w:jc w:val="both"/>
        <w:rPr>
          <w:rFonts w:ascii="宋体" w:hAnsi="宋体" w:cs="黑体"/>
          <w:color w:val="auto"/>
          <w:szCs w:val="21"/>
          <w:highlight w:val="none"/>
        </w:rPr>
      </w:pPr>
      <w:bookmarkStart w:id="131" w:name="_Toc426964749"/>
      <w:r>
        <w:rPr>
          <w:rFonts w:hint="eastAsia" w:ascii="宋体" w:hAnsi="宋体" w:cs="黑体"/>
          <w:color w:val="auto"/>
          <w:szCs w:val="21"/>
          <w:highlight w:val="none"/>
        </w:rPr>
        <w:t>2.1投标报价应根据招标文件中的有关计价要求，并按照下列依据自主报价。</w:t>
      </w:r>
    </w:p>
    <w:p>
      <w:pPr>
        <w:spacing w:line="360" w:lineRule="auto"/>
        <w:ind w:firstLine="424" w:firstLineChars="202"/>
        <w:jc w:val="both"/>
        <w:rPr>
          <w:rFonts w:ascii="宋体" w:hAnsi="宋体" w:cs="黑体"/>
          <w:color w:val="auto"/>
          <w:szCs w:val="21"/>
          <w:highlight w:val="none"/>
        </w:rPr>
      </w:pPr>
      <w:r>
        <w:rPr>
          <w:rFonts w:hint="eastAsia" w:ascii="宋体" w:hAnsi="宋体" w:cs="黑体"/>
          <w:color w:val="auto"/>
          <w:szCs w:val="21"/>
          <w:highlight w:val="none"/>
        </w:rPr>
        <w:t>(1)本招标文件；</w:t>
      </w:r>
    </w:p>
    <w:p>
      <w:pPr>
        <w:spacing w:line="360" w:lineRule="auto"/>
        <w:ind w:firstLine="424" w:firstLineChars="202"/>
        <w:jc w:val="both"/>
        <w:rPr>
          <w:rFonts w:ascii="宋体" w:hAnsi="宋体" w:cs="黑体"/>
          <w:color w:val="auto"/>
          <w:szCs w:val="21"/>
          <w:highlight w:val="none"/>
        </w:rPr>
      </w:pPr>
      <w:r>
        <w:rPr>
          <w:rFonts w:hint="eastAsia" w:ascii="宋体" w:hAnsi="宋体" w:cs="黑体"/>
          <w:color w:val="auto"/>
          <w:szCs w:val="21"/>
          <w:highlight w:val="none"/>
        </w:rPr>
        <w:t>(2)《建设工程工程量清单计价规范》及其《上海市建设工程工程量清单计价应用规则》；</w:t>
      </w:r>
    </w:p>
    <w:p>
      <w:pPr>
        <w:spacing w:line="360" w:lineRule="auto"/>
        <w:ind w:firstLine="424" w:firstLineChars="202"/>
        <w:jc w:val="both"/>
        <w:rPr>
          <w:rFonts w:ascii="宋体" w:hAnsi="宋体" w:cs="黑体"/>
          <w:color w:val="auto"/>
          <w:szCs w:val="21"/>
          <w:highlight w:val="none"/>
        </w:rPr>
      </w:pPr>
      <w:r>
        <w:rPr>
          <w:rFonts w:hint="eastAsia" w:ascii="宋体" w:hAnsi="宋体" w:cs="黑体"/>
          <w:color w:val="auto"/>
          <w:szCs w:val="21"/>
          <w:highlight w:val="none"/>
        </w:rPr>
        <w:t>(3)国家或本市建设主管部门颁发的计价办法；</w:t>
      </w:r>
    </w:p>
    <w:p>
      <w:pPr>
        <w:spacing w:line="360" w:lineRule="auto"/>
        <w:ind w:firstLine="424" w:firstLineChars="202"/>
        <w:jc w:val="both"/>
        <w:rPr>
          <w:rFonts w:ascii="宋体" w:hAnsi="宋体" w:cs="黑体"/>
          <w:color w:val="auto"/>
          <w:szCs w:val="21"/>
          <w:highlight w:val="none"/>
        </w:rPr>
      </w:pPr>
      <w:r>
        <w:rPr>
          <w:rFonts w:hint="eastAsia" w:ascii="宋体" w:hAnsi="宋体" w:cs="黑体"/>
          <w:color w:val="auto"/>
          <w:szCs w:val="21"/>
          <w:highlight w:val="none"/>
        </w:rPr>
        <w:t>(4)企业定额，国家或本市建设主管部门颁发的计价标准（定额）；</w:t>
      </w:r>
    </w:p>
    <w:p>
      <w:pPr>
        <w:spacing w:line="360" w:lineRule="auto"/>
        <w:ind w:firstLine="424" w:firstLineChars="202"/>
        <w:jc w:val="both"/>
        <w:rPr>
          <w:rFonts w:ascii="宋体" w:hAnsi="宋体" w:cs="黑体"/>
          <w:color w:val="auto"/>
          <w:szCs w:val="21"/>
          <w:highlight w:val="none"/>
        </w:rPr>
      </w:pPr>
      <w:r>
        <w:rPr>
          <w:rFonts w:hint="eastAsia" w:ascii="宋体" w:hAnsi="宋体" w:cs="黑体"/>
          <w:color w:val="auto"/>
          <w:szCs w:val="21"/>
          <w:highlight w:val="none"/>
        </w:rPr>
        <w:t>(5)补充招标文件；</w:t>
      </w:r>
    </w:p>
    <w:p>
      <w:pPr>
        <w:spacing w:line="360" w:lineRule="auto"/>
        <w:ind w:firstLine="424" w:firstLineChars="202"/>
        <w:jc w:val="both"/>
        <w:rPr>
          <w:rFonts w:ascii="宋体" w:hAnsi="宋体" w:cs="黑体"/>
          <w:color w:val="auto"/>
          <w:szCs w:val="21"/>
          <w:highlight w:val="none"/>
        </w:rPr>
      </w:pPr>
      <w:r>
        <w:rPr>
          <w:rFonts w:hint="eastAsia" w:ascii="宋体" w:hAnsi="宋体" w:cs="黑体"/>
          <w:color w:val="auto"/>
          <w:szCs w:val="21"/>
          <w:highlight w:val="none"/>
        </w:rPr>
        <w:t>(6)建设工程设计文件及相关资料；</w:t>
      </w:r>
    </w:p>
    <w:p>
      <w:pPr>
        <w:spacing w:line="360" w:lineRule="auto"/>
        <w:ind w:firstLine="424" w:firstLineChars="202"/>
        <w:jc w:val="both"/>
        <w:rPr>
          <w:rFonts w:ascii="宋体" w:hAnsi="宋体" w:cs="黑体"/>
          <w:color w:val="auto"/>
          <w:szCs w:val="21"/>
          <w:highlight w:val="none"/>
        </w:rPr>
      </w:pPr>
      <w:r>
        <w:rPr>
          <w:rFonts w:hint="eastAsia" w:ascii="宋体" w:hAnsi="宋体" w:cs="黑体"/>
          <w:color w:val="auto"/>
          <w:szCs w:val="21"/>
          <w:highlight w:val="none"/>
        </w:rPr>
        <w:t>(7)施工现场情况、工程特点及拟定的投标施工组织设计或施工方案；</w:t>
      </w:r>
    </w:p>
    <w:p>
      <w:pPr>
        <w:spacing w:line="360" w:lineRule="auto"/>
        <w:ind w:firstLine="424" w:firstLineChars="202"/>
        <w:jc w:val="both"/>
        <w:rPr>
          <w:rFonts w:ascii="宋体" w:hAnsi="宋体" w:cs="黑体"/>
          <w:color w:val="auto"/>
          <w:szCs w:val="21"/>
          <w:highlight w:val="none"/>
        </w:rPr>
      </w:pPr>
      <w:r>
        <w:rPr>
          <w:rFonts w:hint="eastAsia" w:ascii="宋体" w:hAnsi="宋体" w:cs="黑体"/>
          <w:color w:val="auto"/>
          <w:szCs w:val="21"/>
          <w:highlight w:val="none"/>
        </w:rPr>
        <w:t>(8)与建设项目相关的标准、规定等技术资料；</w:t>
      </w:r>
    </w:p>
    <w:p>
      <w:pPr>
        <w:spacing w:line="360" w:lineRule="auto"/>
        <w:ind w:firstLine="424" w:firstLineChars="202"/>
        <w:jc w:val="both"/>
        <w:rPr>
          <w:rFonts w:ascii="宋体" w:hAnsi="宋体" w:cs="黑体"/>
          <w:color w:val="auto"/>
          <w:szCs w:val="21"/>
          <w:highlight w:val="none"/>
        </w:rPr>
      </w:pPr>
      <w:r>
        <w:rPr>
          <w:rFonts w:hint="eastAsia" w:ascii="宋体" w:hAnsi="宋体" w:cs="黑体"/>
          <w:color w:val="auto"/>
          <w:szCs w:val="21"/>
          <w:highlight w:val="none"/>
        </w:rPr>
        <w:t>(9)市场价格信息或工程造价管理机构发布的工程造价信息；</w:t>
      </w:r>
    </w:p>
    <w:p>
      <w:pPr>
        <w:spacing w:line="360" w:lineRule="auto"/>
        <w:ind w:firstLine="424" w:firstLineChars="202"/>
        <w:jc w:val="both"/>
        <w:rPr>
          <w:rFonts w:ascii="宋体" w:hAnsi="宋体" w:cs="黑体"/>
          <w:color w:val="auto"/>
          <w:szCs w:val="21"/>
          <w:highlight w:val="none"/>
        </w:rPr>
      </w:pPr>
      <w:r>
        <w:rPr>
          <w:rFonts w:hint="eastAsia" w:ascii="宋体" w:hAnsi="宋体" w:cs="黑体"/>
          <w:color w:val="auto"/>
          <w:szCs w:val="21"/>
          <w:highlight w:val="none"/>
        </w:rPr>
        <w:t>(10)其他的相关资料。</w:t>
      </w:r>
    </w:p>
    <w:p>
      <w:pPr>
        <w:spacing w:line="360" w:lineRule="auto"/>
        <w:ind w:firstLine="424" w:firstLineChars="202"/>
        <w:jc w:val="both"/>
        <w:rPr>
          <w:rFonts w:ascii="宋体" w:hAnsi="宋体" w:cs="黑体"/>
          <w:color w:val="auto"/>
          <w:szCs w:val="21"/>
          <w:highlight w:val="none"/>
        </w:rPr>
      </w:pPr>
      <w:r>
        <w:rPr>
          <w:rFonts w:hint="eastAsia" w:ascii="宋体" w:hAnsi="宋体" w:cs="黑体"/>
          <w:color w:val="auto"/>
          <w:szCs w:val="21"/>
          <w:highlight w:val="none"/>
        </w:rPr>
        <w:t>2.2工程量清单中的每一子目须填入单价或价格，且只允许有一个报价。</w:t>
      </w:r>
    </w:p>
    <w:p>
      <w:pPr>
        <w:spacing w:line="360" w:lineRule="auto"/>
        <w:ind w:firstLine="424" w:firstLineChars="202"/>
        <w:jc w:val="both"/>
        <w:rPr>
          <w:rFonts w:ascii="宋体" w:hAnsi="宋体" w:cs="黑体"/>
          <w:color w:val="auto"/>
          <w:szCs w:val="21"/>
          <w:highlight w:val="none"/>
        </w:rPr>
      </w:pPr>
      <w:r>
        <w:rPr>
          <w:rFonts w:hint="eastAsia" w:ascii="宋体" w:hAnsi="宋体" w:cs="黑体"/>
          <w:color w:val="auto"/>
          <w:szCs w:val="21"/>
          <w:highlight w:val="none"/>
        </w:rPr>
        <w:t>2.3上海市建设工程施工费用计算按照《关于实施建筑业营业税改增值税调整本市建设工程计价依据的通知》即沪建市管〔2016〕42号执行。</w:t>
      </w:r>
    </w:p>
    <w:p>
      <w:pPr>
        <w:spacing w:line="360" w:lineRule="auto"/>
        <w:ind w:firstLine="424" w:firstLineChars="202"/>
        <w:jc w:val="both"/>
        <w:rPr>
          <w:rFonts w:ascii="宋体" w:hAnsi="宋体" w:cs="黑体"/>
          <w:color w:val="auto"/>
          <w:szCs w:val="21"/>
          <w:highlight w:val="none"/>
        </w:rPr>
      </w:pPr>
      <w:r>
        <w:rPr>
          <w:rFonts w:hint="eastAsia" w:ascii="宋体" w:hAnsi="宋体" w:cs="黑体"/>
          <w:color w:val="auto"/>
          <w:szCs w:val="21"/>
          <w:highlight w:val="none"/>
        </w:rPr>
        <w:t>2.4已标价工程量清单中投标人没有填入单价或价格的子目，其费用视为已分摊在工程量清单中其他已标价的相关子目的单价或价格之中（适用总价合同）。</w:t>
      </w:r>
    </w:p>
    <w:p>
      <w:pPr>
        <w:spacing w:line="360" w:lineRule="auto"/>
        <w:ind w:firstLine="424" w:firstLineChars="202"/>
        <w:jc w:val="both"/>
        <w:rPr>
          <w:rFonts w:ascii="宋体" w:hAnsi="宋体" w:cs="黑体"/>
          <w:color w:val="auto"/>
          <w:szCs w:val="21"/>
          <w:highlight w:val="none"/>
        </w:rPr>
      </w:pPr>
      <w:r>
        <w:rPr>
          <w:rFonts w:hint="eastAsia" w:ascii="宋体" w:hAnsi="宋体" w:cs="黑体"/>
          <w:color w:val="auto"/>
          <w:szCs w:val="21"/>
          <w:highlight w:val="none"/>
        </w:rPr>
        <w:t>2.5“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360" w:lineRule="auto"/>
        <w:ind w:firstLine="424" w:firstLineChars="202"/>
        <w:jc w:val="both"/>
        <w:rPr>
          <w:rFonts w:ascii="宋体" w:hAnsi="宋体" w:cs="黑体"/>
          <w:color w:val="auto"/>
          <w:szCs w:val="21"/>
          <w:highlight w:val="none"/>
        </w:rPr>
      </w:pPr>
      <w:r>
        <w:rPr>
          <w:rFonts w:hint="eastAsia" w:ascii="宋体" w:hAnsi="宋体" w:cs="黑体"/>
          <w:color w:val="auto"/>
          <w:szCs w:val="21"/>
          <w:highlight w:val="none"/>
        </w:rPr>
        <w:t>2.6 分部分项工程项目按下列要求报价：</w:t>
      </w:r>
    </w:p>
    <w:p>
      <w:pPr>
        <w:spacing w:line="360" w:lineRule="auto"/>
        <w:ind w:firstLine="424" w:firstLineChars="202"/>
        <w:jc w:val="both"/>
        <w:rPr>
          <w:rFonts w:ascii="宋体" w:hAnsi="宋体" w:cs="黑体"/>
          <w:color w:val="auto"/>
          <w:szCs w:val="21"/>
          <w:highlight w:val="none"/>
        </w:rPr>
      </w:pPr>
      <w:r>
        <w:rPr>
          <w:rFonts w:hint="eastAsia" w:ascii="宋体" w:hAnsi="宋体" w:cs="黑体"/>
          <w:color w:val="auto"/>
          <w:szCs w:val="21"/>
          <w:highlight w:val="none"/>
        </w:rPr>
        <w:t>2.6.1分部分项工程量清单计价应依据计价规范中关于综合单价的组成内容确定报价。</w:t>
      </w:r>
    </w:p>
    <w:p>
      <w:pPr>
        <w:spacing w:line="360" w:lineRule="auto"/>
        <w:ind w:firstLine="424" w:firstLineChars="202"/>
        <w:jc w:val="both"/>
        <w:rPr>
          <w:rFonts w:ascii="宋体" w:hAnsi="宋体" w:cs="黑体"/>
          <w:color w:val="auto"/>
          <w:szCs w:val="21"/>
          <w:highlight w:val="none"/>
        </w:rPr>
      </w:pPr>
      <w:r>
        <w:rPr>
          <w:rFonts w:hint="eastAsia" w:ascii="宋体" w:hAnsi="宋体" w:cs="黑体"/>
          <w:color w:val="auto"/>
          <w:szCs w:val="21"/>
          <w:highlight w:val="none"/>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360" w:lineRule="auto"/>
        <w:ind w:firstLine="424" w:firstLineChars="202"/>
        <w:jc w:val="both"/>
        <w:rPr>
          <w:rFonts w:ascii="宋体" w:hAnsi="宋体" w:cs="黑体"/>
          <w:color w:val="auto"/>
          <w:szCs w:val="21"/>
          <w:highlight w:val="none"/>
        </w:rPr>
      </w:pPr>
      <w:r>
        <w:rPr>
          <w:rFonts w:hint="eastAsia" w:ascii="宋体" w:hAnsi="宋体" w:cs="黑体"/>
          <w:color w:val="auto"/>
          <w:szCs w:val="21"/>
          <w:highlight w:val="none"/>
        </w:rPr>
        <w:t>2.6.3 分部分项工程量清单中涉及发包人提供的材料（设备）中列出的材料和设备，其供应至现场指定位置的采购供应价计入投标报价（可以考虑简易计税方法计税）。</w:t>
      </w:r>
    </w:p>
    <w:p>
      <w:pPr>
        <w:spacing w:line="360" w:lineRule="auto"/>
        <w:ind w:firstLine="424" w:firstLineChars="202"/>
        <w:jc w:val="both"/>
        <w:rPr>
          <w:rFonts w:ascii="宋体" w:hAnsi="宋体" w:cs="黑体"/>
          <w:color w:val="auto"/>
          <w:szCs w:val="21"/>
          <w:highlight w:val="none"/>
        </w:rPr>
      </w:pPr>
      <w:r>
        <w:rPr>
          <w:rFonts w:hint="eastAsia" w:ascii="宋体" w:hAnsi="宋体" w:cs="黑体"/>
          <w:color w:val="auto"/>
          <w:szCs w:val="21"/>
          <w:highlight w:val="none"/>
        </w:rPr>
        <w:t>2.6.4“分部分项工程量清单与计价表”所列各子目的综合单价组成中，各子目的人工、材料和机械台班消耗量由投标人按照其自身情况做充分的、竞争性考虑。材料消耗量包括损耗量。主要分部分项项目（工程量清单中勾选的项目），投标报价中必须给出详细的综合单价组价分析，且组价内容必须包含完整的项目工作内容。</w:t>
      </w:r>
    </w:p>
    <w:p>
      <w:pPr>
        <w:spacing w:line="360" w:lineRule="auto"/>
        <w:ind w:firstLine="424" w:firstLineChars="202"/>
        <w:jc w:val="both"/>
        <w:rPr>
          <w:rFonts w:ascii="宋体" w:hAnsi="宋体" w:cs="黑体"/>
          <w:color w:val="auto"/>
          <w:szCs w:val="21"/>
          <w:highlight w:val="none"/>
        </w:rPr>
      </w:pPr>
      <w:r>
        <w:rPr>
          <w:rFonts w:hint="eastAsia" w:ascii="宋体" w:hAnsi="宋体" w:cs="黑体"/>
          <w:color w:val="auto"/>
          <w:szCs w:val="21"/>
          <w:highlight w:val="none"/>
        </w:rPr>
        <w:t>2.6.5 投标人在投标文件中提交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adjustRightInd w:val="0"/>
        <w:spacing w:line="360" w:lineRule="auto"/>
        <w:ind w:firstLine="420" w:firstLineChars="200"/>
        <w:jc w:val="both"/>
        <w:rPr>
          <w:rFonts w:ascii="宋体" w:hAnsi="宋体" w:cs="黑体"/>
          <w:color w:val="auto"/>
          <w:szCs w:val="21"/>
          <w:highlight w:val="none"/>
        </w:rPr>
      </w:pPr>
      <w:r>
        <w:rPr>
          <w:rFonts w:hint="eastAsia" w:ascii="宋体" w:hAnsi="宋体" w:cs="黑体"/>
          <w:color w:val="auto"/>
          <w:szCs w:val="21"/>
          <w:highlight w:val="none"/>
        </w:rPr>
        <w:t>2.7 措施项目按下列要求报价：</w:t>
      </w:r>
    </w:p>
    <w:p>
      <w:pPr>
        <w:adjustRightInd w:val="0"/>
        <w:spacing w:line="360" w:lineRule="auto"/>
        <w:ind w:firstLine="420" w:firstLineChars="200"/>
        <w:jc w:val="both"/>
        <w:rPr>
          <w:rFonts w:ascii="宋体" w:hAnsi="宋体" w:cs="黑体"/>
          <w:color w:val="auto"/>
          <w:szCs w:val="21"/>
          <w:highlight w:val="none"/>
        </w:rPr>
      </w:pPr>
      <w:r>
        <w:rPr>
          <w:rFonts w:hint="eastAsia" w:ascii="宋体" w:hAnsi="宋体" w:cs="黑体"/>
          <w:color w:val="auto"/>
          <w:szCs w:val="21"/>
          <w:highlight w:val="none"/>
        </w:rPr>
        <w:t xml:space="preserve">2.7.1措施项目清单计价应根据投标人的施工组织设计进行报价。可以计量工程量的措施项目，应按分部分项工程量清单的方式采用综合单价计价；其余的措施项目可以“项”为单位的方式计价。 </w:t>
      </w:r>
    </w:p>
    <w:p>
      <w:pPr>
        <w:adjustRightInd w:val="0"/>
        <w:spacing w:line="360" w:lineRule="auto"/>
        <w:ind w:firstLine="420" w:firstLineChars="200"/>
        <w:jc w:val="both"/>
        <w:rPr>
          <w:rFonts w:ascii="宋体" w:hAnsi="宋体" w:cs="黑体"/>
          <w:color w:val="auto"/>
          <w:szCs w:val="21"/>
          <w:highlight w:val="none"/>
        </w:rPr>
      </w:pPr>
      <w:r>
        <w:rPr>
          <w:rFonts w:hint="eastAsia" w:ascii="宋体" w:hAnsi="宋体" w:cs="黑体"/>
          <w:bCs/>
          <w:color w:val="auto"/>
          <w:szCs w:val="21"/>
          <w:highlight w:val="none"/>
        </w:rPr>
        <w:t>2.7.2措施项目清单中的安全文明施工费应进行费用明细报价，其合计金额不得低于以分部分项工程费为基数，乘以最低费率</w:t>
      </w:r>
      <w:r>
        <w:rPr>
          <w:rFonts w:hint="eastAsia" w:ascii="宋体" w:hAnsi="宋体" w:cs="黑体"/>
          <w:bCs/>
          <w:color w:val="auto"/>
          <w:szCs w:val="21"/>
          <w:highlight w:val="none"/>
          <w:u w:val="single"/>
          <w:lang w:val="en-US" w:eastAsia="zh-CN"/>
        </w:rPr>
        <w:t>3.3</w:t>
      </w:r>
      <w:r>
        <w:rPr>
          <w:rFonts w:ascii="宋体" w:hAnsi="宋体" w:cs="黑体"/>
          <w:bCs/>
          <w:color w:val="auto"/>
          <w:szCs w:val="21"/>
          <w:highlight w:val="none"/>
          <w:u w:val="single"/>
        </w:rPr>
        <w:t>%</w:t>
      </w:r>
      <w:r>
        <w:rPr>
          <w:rFonts w:hint="eastAsia" w:ascii="宋体" w:hAnsi="宋体" w:cs="黑体"/>
          <w:bCs/>
          <w:color w:val="auto"/>
          <w:szCs w:val="21"/>
          <w:highlight w:val="none"/>
        </w:rPr>
        <w:t>的90%。</w:t>
      </w:r>
    </w:p>
    <w:p>
      <w:pPr>
        <w:adjustRightInd w:val="0"/>
        <w:spacing w:line="360" w:lineRule="auto"/>
        <w:ind w:firstLine="420" w:firstLineChars="200"/>
        <w:jc w:val="both"/>
        <w:rPr>
          <w:rFonts w:ascii="宋体" w:hAnsi="宋体" w:cs="黑体"/>
          <w:color w:val="auto"/>
          <w:szCs w:val="21"/>
          <w:highlight w:val="none"/>
        </w:rPr>
      </w:pPr>
      <w:r>
        <w:rPr>
          <w:rFonts w:hint="eastAsia" w:ascii="宋体" w:hAnsi="宋体" w:cs="黑体"/>
          <w:color w:val="auto"/>
          <w:szCs w:val="21"/>
          <w:highlight w:val="none"/>
        </w:rPr>
        <w:t>2.7.3招标人提供的措施项目清单中所列项目仅指一般的通用项目，投标人在报价时应充分、全面地阅读和理解招标文件的相关内容和约定，包括第六章“技术标准和要求”的相关约定，详实了解工程场地及其周围环境，充分考虑招标工程特点及拟定的施工方案和施工组织设计，对招标人给出的措施项目清单的内容进行细化或增减。</w:t>
      </w:r>
      <w:r>
        <w:rPr>
          <w:rFonts w:ascii="宋体" w:hAnsi="宋体" w:cs="黑体"/>
          <w:color w:val="auto"/>
          <w:szCs w:val="21"/>
          <w:highlight w:val="none"/>
        </w:rPr>
        <w:t>重要措施项目报价应与施工组织设计相符，并开列措施项目费用的明细清单</w:t>
      </w:r>
      <w:r>
        <w:rPr>
          <w:rFonts w:hint="eastAsia" w:ascii="宋体" w:hAnsi="宋体" w:cs="黑体"/>
          <w:color w:val="auto"/>
          <w:szCs w:val="21"/>
          <w:highlight w:val="none"/>
        </w:rPr>
        <w:t>；</w:t>
      </w:r>
    </w:p>
    <w:p>
      <w:pPr>
        <w:adjustRightInd w:val="0"/>
        <w:spacing w:line="360" w:lineRule="auto"/>
        <w:ind w:firstLine="420" w:firstLineChars="200"/>
        <w:jc w:val="both"/>
        <w:rPr>
          <w:rFonts w:ascii="宋体" w:hAnsi="宋体" w:cs="黑体"/>
          <w:color w:val="auto"/>
          <w:szCs w:val="21"/>
          <w:highlight w:val="none"/>
        </w:rPr>
      </w:pPr>
      <w:r>
        <w:rPr>
          <w:rFonts w:hint="eastAsia" w:ascii="宋体" w:hAnsi="宋体" w:cs="黑体"/>
          <w:color w:val="auto"/>
          <w:szCs w:val="21"/>
          <w:highlight w:val="none"/>
        </w:rPr>
        <w:t>2.7.4“措施项目清单与计价表”中所填写的报价金额，应全面涵盖招标文件约定的投标人中标后施工、竣工、交付本工程并维修其任何缺陷所需要履行的责任和义务的全部费用。</w:t>
      </w:r>
    </w:p>
    <w:p>
      <w:pPr>
        <w:adjustRightInd w:val="0"/>
        <w:spacing w:line="360" w:lineRule="auto"/>
        <w:ind w:firstLine="420" w:firstLineChars="200"/>
        <w:jc w:val="both"/>
        <w:rPr>
          <w:rFonts w:ascii="宋体" w:hAnsi="宋体" w:cs="黑体"/>
          <w:color w:val="auto"/>
          <w:szCs w:val="21"/>
          <w:highlight w:val="none"/>
        </w:rPr>
      </w:pPr>
      <w:r>
        <w:rPr>
          <w:rFonts w:hint="eastAsia" w:ascii="宋体" w:hAnsi="宋体" w:cs="黑体"/>
          <w:color w:val="auto"/>
          <w:szCs w:val="21"/>
          <w:highlight w:val="none"/>
        </w:rPr>
        <w:t>2.7.5对于“措施项目清单与计价表”中所填写的报价金额，应按照“措施项目清单报价分析表”对措施项目报价的组成进行详细的列项和分析。</w:t>
      </w:r>
    </w:p>
    <w:p>
      <w:pPr>
        <w:adjustRightInd w:val="0"/>
        <w:spacing w:line="360" w:lineRule="auto"/>
        <w:ind w:firstLine="420" w:firstLineChars="200"/>
        <w:jc w:val="both"/>
        <w:rPr>
          <w:rFonts w:ascii="宋体" w:hAnsi="宋体" w:cs="黑体"/>
          <w:color w:val="auto"/>
          <w:szCs w:val="21"/>
          <w:highlight w:val="none"/>
        </w:rPr>
      </w:pPr>
      <w:r>
        <w:rPr>
          <w:rFonts w:hint="eastAsia" w:ascii="宋体" w:hAnsi="宋体" w:cs="黑体"/>
          <w:color w:val="auto"/>
          <w:szCs w:val="21"/>
          <w:highlight w:val="none"/>
        </w:rPr>
        <w:t>2.8其他项目清单费应按下列规定报价：</w:t>
      </w:r>
    </w:p>
    <w:p>
      <w:pPr>
        <w:adjustRightInd w:val="0"/>
        <w:spacing w:line="360" w:lineRule="auto"/>
        <w:ind w:firstLine="420" w:firstLineChars="200"/>
        <w:jc w:val="both"/>
        <w:rPr>
          <w:rFonts w:ascii="宋体" w:hAnsi="宋体" w:cs="黑体"/>
          <w:color w:val="auto"/>
          <w:szCs w:val="21"/>
          <w:highlight w:val="none"/>
        </w:rPr>
      </w:pPr>
      <w:r>
        <w:rPr>
          <w:rFonts w:hint="eastAsia" w:ascii="宋体" w:hAnsi="宋体" w:cs="黑体"/>
          <w:color w:val="auto"/>
          <w:szCs w:val="21"/>
          <w:highlight w:val="none"/>
        </w:rPr>
        <w:t>2.8.1暂列金额按“暂列金额明细表”中列出的金额报价，此处的暂列金额是招标人在招标文件中统一给定的。</w:t>
      </w:r>
    </w:p>
    <w:p>
      <w:pPr>
        <w:adjustRightInd w:val="0"/>
        <w:spacing w:line="360" w:lineRule="auto"/>
        <w:ind w:firstLine="420" w:firstLineChars="200"/>
        <w:jc w:val="both"/>
        <w:rPr>
          <w:rFonts w:ascii="宋体" w:hAnsi="宋体" w:cs="黑体"/>
          <w:color w:val="auto"/>
          <w:szCs w:val="21"/>
          <w:highlight w:val="none"/>
        </w:rPr>
      </w:pPr>
      <w:r>
        <w:rPr>
          <w:rFonts w:hint="eastAsia" w:ascii="宋体" w:hAnsi="宋体" w:cs="黑体"/>
          <w:color w:val="auto"/>
          <w:szCs w:val="21"/>
          <w:highlight w:val="none"/>
        </w:rPr>
        <w:t>2.8.2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adjustRightInd w:val="0"/>
        <w:spacing w:line="360" w:lineRule="auto"/>
        <w:ind w:firstLine="420" w:firstLineChars="200"/>
        <w:jc w:val="both"/>
        <w:rPr>
          <w:rFonts w:ascii="宋体" w:hAnsi="宋体" w:cs="黑体"/>
          <w:color w:val="auto"/>
          <w:szCs w:val="21"/>
          <w:highlight w:val="none"/>
        </w:rPr>
      </w:pPr>
      <w:r>
        <w:rPr>
          <w:rFonts w:hint="eastAsia" w:ascii="宋体" w:hAnsi="宋体" w:cs="黑体"/>
          <w:color w:val="auto"/>
          <w:szCs w:val="21"/>
          <w:highlight w:val="none"/>
        </w:rPr>
        <w:t>2.8.3计日工按“计日工表”中列出的子目和估算数量，自主确定综合单价并计算计日工金额。计日工综合单价均不包括规费和税金，其中：</w:t>
      </w:r>
    </w:p>
    <w:p>
      <w:pPr>
        <w:adjustRightInd w:val="0"/>
        <w:spacing w:line="360" w:lineRule="auto"/>
        <w:ind w:firstLine="420" w:firstLineChars="200"/>
        <w:jc w:val="both"/>
        <w:rPr>
          <w:rFonts w:ascii="宋体" w:hAnsi="宋体" w:cs="黑体"/>
          <w:color w:val="auto"/>
          <w:szCs w:val="21"/>
          <w:highlight w:val="none"/>
        </w:rPr>
      </w:pPr>
      <w:r>
        <w:rPr>
          <w:rFonts w:hint="eastAsia" w:ascii="宋体" w:hAnsi="宋体" w:cs="黑体"/>
          <w:color w:val="auto"/>
          <w:szCs w:val="21"/>
          <w:highlight w:val="none"/>
        </w:rPr>
        <w:t>(1) 劳务单价应当包括工人工资、交通费用、各种补贴、劳动安全保护、个人应缴纳的社保费用、手提手动和电动工器具、施工场地内已经搭设的脚手架、水电和低值易耗品费用、现场管理费用、企业管理费和利润；</w:t>
      </w:r>
    </w:p>
    <w:p>
      <w:pPr>
        <w:adjustRightInd w:val="0"/>
        <w:spacing w:line="360" w:lineRule="auto"/>
        <w:ind w:firstLine="420" w:firstLineChars="200"/>
        <w:jc w:val="both"/>
        <w:rPr>
          <w:rFonts w:ascii="宋体" w:hAnsi="宋体" w:cs="黑体"/>
          <w:color w:val="auto"/>
          <w:szCs w:val="21"/>
          <w:highlight w:val="none"/>
        </w:rPr>
      </w:pPr>
      <w:r>
        <w:rPr>
          <w:rFonts w:hint="eastAsia" w:ascii="宋体" w:hAnsi="宋体" w:cs="黑体"/>
          <w:color w:val="auto"/>
          <w:szCs w:val="21"/>
          <w:highlight w:val="none"/>
        </w:rPr>
        <w:t>(2)材料价格包括材料运到现场的价格以及现场搬运、仓储、二次搬运、损耗、保险、企业管理费和利润；</w:t>
      </w:r>
    </w:p>
    <w:p>
      <w:pPr>
        <w:adjustRightInd w:val="0"/>
        <w:spacing w:line="360" w:lineRule="auto"/>
        <w:ind w:firstLine="420" w:firstLineChars="200"/>
        <w:jc w:val="both"/>
        <w:rPr>
          <w:rFonts w:ascii="宋体" w:hAnsi="宋体" w:cs="黑体"/>
          <w:color w:val="auto"/>
          <w:szCs w:val="21"/>
          <w:highlight w:val="none"/>
        </w:rPr>
      </w:pPr>
      <w:r>
        <w:rPr>
          <w:rFonts w:hint="eastAsia" w:ascii="宋体" w:hAnsi="宋体" w:cs="黑体"/>
          <w:color w:val="auto"/>
          <w:szCs w:val="21"/>
          <w:highlight w:val="none"/>
        </w:rPr>
        <w:t>(3) 施工机械限于在施工场地(现场)的机械设备，其价格包括租赁或折旧、维修、维护和燃油等消耗品以及操作人员费用，包括承包人企业管理费和利润，但不包括规费和税金。辅助人员按劳务价格另计。</w:t>
      </w:r>
    </w:p>
    <w:p>
      <w:pPr>
        <w:adjustRightInd w:val="0"/>
        <w:spacing w:line="360" w:lineRule="auto"/>
        <w:ind w:firstLine="420" w:firstLineChars="200"/>
        <w:jc w:val="both"/>
        <w:rPr>
          <w:rFonts w:ascii="宋体" w:hAnsi="宋体" w:cs="黑体"/>
          <w:color w:val="auto"/>
          <w:szCs w:val="21"/>
          <w:highlight w:val="none"/>
        </w:rPr>
      </w:pPr>
      <w:r>
        <w:rPr>
          <w:rFonts w:hint="eastAsia" w:ascii="宋体" w:hAnsi="宋体" w:cs="黑体"/>
          <w:color w:val="auto"/>
          <w:szCs w:val="21"/>
          <w:highlight w:val="none"/>
        </w:rPr>
        <w:t>2.8.4 总承包服务费根据招标文件中列出的内容和要求，按“总承包服务费计价表”所列格式自主报价。</w:t>
      </w:r>
    </w:p>
    <w:p>
      <w:pPr>
        <w:adjustRightInd w:val="0"/>
        <w:spacing w:line="360" w:lineRule="auto"/>
        <w:ind w:firstLine="420" w:firstLineChars="200"/>
        <w:jc w:val="both"/>
        <w:rPr>
          <w:rFonts w:ascii="宋体" w:hAnsi="宋体" w:cs="黑体"/>
          <w:color w:val="auto"/>
          <w:szCs w:val="21"/>
          <w:highlight w:val="none"/>
        </w:rPr>
      </w:pPr>
      <w:r>
        <w:rPr>
          <w:rFonts w:hint="eastAsia" w:ascii="宋体" w:hAnsi="宋体" w:cs="黑体"/>
          <w:color w:val="auto"/>
          <w:szCs w:val="21"/>
          <w:highlight w:val="none"/>
        </w:rPr>
        <w:t>2.9规费</w:t>
      </w:r>
    </w:p>
    <w:p>
      <w:pPr>
        <w:adjustRightInd w:val="0"/>
        <w:spacing w:line="360" w:lineRule="auto"/>
        <w:ind w:firstLine="420" w:firstLineChars="200"/>
        <w:jc w:val="both"/>
        <w:rPr>
          <w:rFonts w:ascii="宋体" w:hAnsi="宋体" w:cs="黑体"/>
          <w:color w:val="auto"/>
          <w:szCs w:val="21"/>
          <w:highlight w:val="none"/>
        </w:rPr>
      </w:pPr>
      <w:r>
        <w:rPr>
          <w:rFonts w:hint="eastAsia" w:ascii="宋体" w:hAnsi="宋体" w:cs="黑体"/>
          <w:color w:val="auto"/>
          <w:szCs w:val="21"/>
          <w:highlight w:val="none"/>
        </w:rPr>
        <w:t>2.9.1 社会保险费：社会保险费以分部分项工程、单项措施和专业暂估价中的人工费之和为基数，乘以相应费率。其中，专业暂估价中的人工费按专业暂估价的20%计算。社会保险费包括管理人员和施工现场作业人员的社会保险费，管理人员和施工现场作业人员社会保险费取费费率固定统一。投标人在投标时分别填报管理人员和施工现场作业人员的社会保险费金额。两项合计后列入评标总价参与评标。各类工程社会保险费费率按工程造价管理部门发布的费率计算（沪建市管〔2019〕24号）。</w:t>
      </w:r>
    </w:p>
    <w:p>
      <w:pPr>
        <w:adjustRightInd w:val="0"/>
        <w:spacing w:line="360" w:lineRule="auto"/>
        <w:ind w:firstLine="420" w:firstLineChars="200"/>
        <w:jc w:val="both"/>
        <w:rPr>
          <w:rFonts w:ascii="宋体" w:hAnsi="宋体" w:cs="黑体"/>
          <w:color w:val="auto"/>
          <w:szCs w:val="21"/>
          <w:highlight w:val="none"/>
        </w:rPr>
      </w:pPr>
      <w:r>
        <w:rPr>
          <w:rFonts w:hint="eastAsia" w:ascii="宋体" w:hAnsi="宋体" w:cs="黑体"/>
          <w:color w:val="auto"/>
          <w:szCs w:val="21"/>
          <w:highlight w:val="none"/>
        </w:rPr>
        <w:t>社会保险费根据沪建建管〔2017〕899号文件规定，结合工程实际情况，社会保险费据实结算，且不超过投标时社会保险费的总额，分包人须按要求提交证明材料。</w:t>
      </w:r>
    </w:p>
    <w:p>
      <w:pPr>
        <w:adjustRightInd w:val="0"/>
        <w:spacing w:line="360" w:lineRule="auto"/>
        <w:ind w:firstLine="420" w:firstLineChars="200"/>
        <w:jc w:val="both"/>
        <w:rPr>
          <w:rFonts w:ascii="宋体" w:hAnsi="宋体" w:cs="黑体"/>
          <w:color w:val="auto"/>
          <w:szCs w:val="21"/>
          <w:highlight w:val="none"/>
        </w:rPr>
      </w:pPr>
      <w:r>
        <w:rPr>
          <w:rFonts w:hint="eastAsia" w:ascii="宋体" w:hAnsi="宋体" w:cs="黑体"/>
          <w:color w:val="auto"/>
          <w:szCs w:val="21"/>
          <w:highlight w:val="none"/>
        </w:rPr>
        <w:t>2.9.2 住房公积金：住房公积金以分部分项工程、单项措施和专业暂估价中的人工费之和为基数，乘以相应费率。其中专业暂估价中的人工费按专业暂估价的20%计算。房屋建筑与装饰工程、市政工程（土建部分）按该基数乘以1.96%计算；安装工程按该基数乘以1.59%计算（沪建市管〔2019〕24号）。</w:t>
      </w:r>
    </w:p>
    <w:p>
      <w:pPr>
        <w:adjustRightInd w:val="0"/>
        <w:spacing w:line="360" w:lineRule="auto"/>
        <w:ind w:firstLine="420" w:firstLineChars="200"/>
        <w:jc w:val="both"/>
        <w:rPr>
          <w:rFonts w:ascii="宋体" w:hAnsi="宋体" w:cs="黑体"/>
          <w:bCs/>
          <w:color w:val="auto"/>
          <w:szCs w:val="21"/>
          <w:highlight w:val="none"/>
        </w:rPr>
      </w:pPr>
      <w:r>
        <w:rPr>
          <w:rFonts w:hint="eastAsia" w:ascii="宋体" w:hAnsi="宋体" w:cs="黑体"/>
          <w:bCs/>
          <w:color w:val="auto"/>
          <w:szCs w:val="21"/>
          <w:highlight w:val="none"/>
        </w:rPr>
        <w:t>2.10 增值税：</w:t>
      </w:r>
      <w:r>
        <w:rPr>
          <w:rFonts w:ascii="宋体" w:hAnsi="宋体" w:cs="黑体"/>
          <w:bCs/>
          <w:color w:val="auto"/>
          <w:szCs w:val="21"/>
          <w:highlight w:val="none"/>
          <w:u w:val="single"/>
        </w:rPr>
        <w:t>9</w:t>
      </w:r>
      <w:r>
        <w:rPr>
          <w:rFonts w:hint="eastAsia" w:ascii="宋体" w:hAnsi="宋体" w:cs="黑体"/>
          <w:bCs/>
          <w:color w:val="auto"/>
          <w:szCs w:val="21"/>
          <w:highlight w:val="none"/>
          <w:u w:val="single"/>
        </w:rPr>
        <w:t xml:space="preserve"> % </w:t>
      </w:r>
      <w:r>
        <w:rPr>
          <w:rFonts w:hint="eastAsia" w:ascii="宋体" w:hAnsi="宋体" w:cs="黑体"/>
          <w:bCs/>
          <w:color w:val="auto"/>
          <w:szCs w:val="21"/>
          <w:highlight w:val="none"/>
        </w:rPr>
        <w:t>。 参照《关于调整本市建设工程计价依据增值税税率等有关事项的通知》（沪建市管〔201</w:t>
      </w:r>
      <w:r>
        <w:rPr>
          <w:rFonts w:ascii="宋体" w:hAnsi="宋体" w:cs="黑体"/>
          <w:bCs/>
          <w:color w:val="auto"/>
          <w:szCs w:val="21"/>
          <w:highlight w:val="none"/>
        </w:rPr>
        <w:t>9</w:t>
      </w:r>
      <w:r>
        <w:rPr>
          <w:rFonts w:hint="eastAsia" w:ascii="宋体" w:hAnsi="宋体" w:cs="黑体"/>
          <w:bCs/>
          <w:color w:val="auto"/>
          <w:szCs w:val="21"/>
          <w:highlight w:val="none"/>
        </w:rPr>
        <w:t>〕</w:t>
      </w:r>
      <w:r>
        <w:rPr>
          <w:rFonts w:ascii="宋体" w:hAnsi="宋体" w:cs="黑体"/>
          <w:bCs/>
          <w:color w:val="auto"/>
          <w:szCs w:val="21"/>
          <w:highlight w:val="none"/>
        </w:rPr>
        <w:t>19</w:t>
      </w:r>
      <w:r>
        <w:rPr>
          <w:rFonts w:hint="eastAsia" w:ascii="宋体" w:hAnsi="宋体" w:cs="黑体"/>
          <w:bCs/>
          <w:color w:val="auto"/>
          <w:szCs w:val="21"/>
          <w:highlight w:val="none"/>
        </w:rPr>
        <w:t>号）。</w:t>
      </w:r>
    </w:p>
    <w:p>
      <w:pPr>
        <w:adjustRightInd w:val="0"/>
        <w:spacing w:line="360" w:lineRule="auto"/>
        <w:ind w:firstLine="420" w:firstLineChars="200"/>
        <w:jc w:val="both"/>
        <w:rPr>
          <w:rFonts w:ascii="宋体" w:hAnsi="宋体" w:cs="黑体"/>
          <w:color w:val="auto"/>
          <w:szCs w:val="21"/>
          <w:highlight w:val="none"/>
        </w:rPr>
      </w:pPr>
      <w:r>
        <w:rPr>
          <w:rFonts w:hint="eastAsia" w:ascii="宋体" w:hAnsi="宋体" w:cs="黑体"/>
          <w:color w:val="auto"/>
          <w:szCs w:val="21"/>
          <w:highlight w:val="none"/>
        </w:rPr>
        <w:t>2.11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adjustRightInd w:val="0"/>
        <w:spacing w:line="360" w:lineRule="auto"/>
        <w:ind w:firstLine="420" w:firstLineChars="200"/>
        <w:jc w:val="both"/>
        <w:rPr>
          <w:rFonts w:ascii="宋体" w:hAnsi="宋体" w:cs="黑体"/>
          <w:color w:val="auto"/>
          <w:szCs w:val="21"/>
          <w:highlight w:val="none"/>
        </w:rPr>
      </w:pPr>
      <w:r>
        <w:rPr>
          <w:rFonts w:hint="eastAsia" w:ascii="宋体" w:hAnsi="宋体" w:cs="黑体"/>
          <w:color w:val="auto"/>
          <w:szCs w:val="21"/>
          <w:highlight w:val="none"/>
        </w:rPr>
        <w:t>2.12企业管理费包括城市维护建设税、教育费附加、地方教育费附加及河道管理费等附加税费。企业管理费应由投标人在保证不低于其成本的基础上做竞争性考虑；利润由投标人根据自身情况和综合实力做竞争性考虑。</w:t>
      </w:r>
    </w:p>
    <w:p>
      <w:pPr>
        <w:adjustRightInd w:val="0"/>
        <w:spacing w:line="360" w:lineRule="auto"/>
        <w:ind w:firstLine="420" w:firstLineChars="200"/>
        <w:jc w:val="both"/>
        <w:rPr>
          <w:rFonts w:ascii="宋体" w:hAnsi="宋体" w:cs="黑体"/>
          <w:color w:val="auto"/>
          <w:szCs w:val="21"/>
          <w:highlight w:val="none"/>
        </w:rPr>
      </w:pPr>
      <w:r>
        <w:rPr>
          <w:rFonts w:hint="eastAsia" w:ascii="宋体" w:hAnsi="宋体" w:cs="黑体"/>
          <w:color w:val="auto"/>
          <w:szCs w:val="21"/>
          <w:highlight w:val="none"/>
        </w:rPr>
        <w:t>2.13投标人在投标报价中应考虑招标文件中要求投标人承担的风险范围以及相关的费用。投标总价除暂列金额、暂估价外均应按规自主确定报价，但不得低于其成本。</w:t>
      </w:r>
    </w:p>
    <w:p>
      <w:pPr>
        <w:adjustRightInd w:val="0"/>
        <w:spacing w:line="360" w:lineRule="auto"/>
        <w:ind w:firstLine="420" w:firstLineChars="200"/>
        <w:jc w:val="both"/>
        <w:rPr>
          <w:rFonts w:ascii="宋体" w:hAnsi="宋体" w:cs="黑体"/>
          <w:color w:val="auto"/>
          <w:szCs w:val="21"/>
          <w:highlight w:val="none"/>
        </w:rPr>
      </w:pPr>
      <w:r>
        <w:rPr>
          <w:rFonts w:hint="eastAsia" w:ascii="宋体" w:hAnsi="宋体" w:cs="黑体"/>
          <w:color w:val="auto"/>
          <w:szCs w:val="21"/>
          <w:highlight w:val="none"/>
        </w:rPr>
        <w:t>2.14 投标总价为投标人在投标文件中提出的各项支付金额的总和，为实施、完成招标工程并修补缺陷以及履行招标文件中约定的风险范围内的所有责任和义务所发生的全部费用。</w:t>
      </w:r>
    </w:p>
    <w:p>
      <w:pPr>
        <w:adjustRightInd w:val="0"/>
        <w:spacing w:line="360" w:lineRule="auto"/>
        <w:ind w:firstLine="420" w:firstLineChars="200"/>
        <w:jc w:val="both"/>
        <w:rPr>
          <w:rFonts w:ascii="宋体" w:hAnsi="宋体" w:cs="黑体"/>
          <w:color w:val="auto"/>
          <w:szCs w:val="21"/>
          <w:highlight w:val="none"/>
        </w:rPr>
      </w:pPr>
      <w:r>
        <w:rPr>
          <w:rFonts w:hint="eastAsia" w:ascii="宋体" w:hAnsi="宋体" w:cs="黑体"/>
          <w:color w:val="auto"/>
          <w:szCs w:val="21"/>
          <w:highlight w:val="none"/>
        </w:rPr>
        <w:t>2.15 有关投标报价的其他说明：</w:t>
      </w:r>
    </w:p>
    <w:p>
      <w:pPr>
        <w:adjustRightInd w:val="0"/>
        <w:spacing w:line="360" w:lineRule="auto"/>
        <w:jc w:val="both"/>
        <w:rPr>
          <w:rFonts w:ascii="仿宋" w:hAnsi="仿宋" w:eastAsia="仿宋" w:cs="黑体"/>
          <w:color w:val="auto"/>
          <w:szCs w:val="21"/>
          <w:highlight w:val="none"/>
          <w:u w:val="single"/>
        </w:rPr>
      </w:pPr>
      <w:r>
        <w:rPr>
          <w:rFonts w:hint="eastAsia" w:ascii="Calibri" w:hAnsi="Calibri" w:cs="黑体"/>
          <w:color w:val="auto"/>
          <w:szCs w:val="22"/>
          <w:highlight w:val="none"/>
          <w:u w:val="single"/>
        </w:rPr>
        <w:t xml:space="preserve">                                                                          </w:t>
      </w:r>
    </w:p>
    <w:p>
      <w:pPr>
        <w:spacing w:line="360" w:lineRule="auto"/>
        <w:outlineLvl w:val="2"/>
        <w:rPr>
          <w:rFonts w:ascii="宋体" w:hAnsi="宋体"/>
          <w:b/>
          <w:color w:val="auto"/>
          <w:szCs w:val="21"/>
          <w:highlight w:val="none"/>
        </w:rPr>
      </w:pPr>
      <w:r>
        <w:rPr>
          <w:rFonts w:hint="eastAsia" w:ascii="宋体" w:hAnsi="宋体"/>
          <w:b/>
          <w:color w:val="auto"/>
          <w:szCs w:val="21"/>
          <w:highlight w:val="none"/>
        </w:rPr>
        <w:t>3．其他说明</w:t>
      </w:r>
      <w:bookmarkEnd w:id="131"/>
    </w:p>
    <w:p>
      <w:pPr>
        <w:adjustRightInd w:val="0"/>
        <w:spacing w:line="360" w:lineRule="auto"/>
        <w:ind w:firstLine="420" w:firstLineChars="200"/>
        <w:jc w:val="both"/>
        <w:rPr>
          <w:rFonts w:ascii="宋体" w:hAnsi="宋体" w:cs="黑体"/>
          <w:color w:val="auto"/>
          <w:szCs w:val="21"/>
          <w:highlight w:val="none"/>
        </w:rPr>
      </w:pPr>
      <w:r>
        <w:rPr>
          <w:rFonts w:hint="eastAsia" w:ascii="宋体" w:hAnsi="宋体" w:cs="黑体"/>
          <w:color w:val="auto"/>
          <w:szCs w:val="21"/>
          <w:highlight w:val="none"/>
        </w:rPr>
        <w:t>3.1词语和定义</w:t>
      </w:r>
    </w:p>
    <w:p>
      <w:pPr>
        <w:adjustRightInd w:val="0"/>
        <w:spacing w:line="360" w:lineRule="auto"/>
        <w:ind w:firstLine="420" w:firstLineChars="200"/>
        <w:jc w:val="both"/>
        <w:rPr>
          <w:rFonts w:ascii="宋体" w:hAnsi="宋体" w:cs="黑体"/>
          <w:color w:val="auto"/>
          <w:szCs w:val="21"/>
          <w:highlight w:val="none"/>
        </w:rPr>
      </w:pPr>
      <w:r>
        <w:rPr>
          <w:rFonts w:hint="eastAsia" w:ascii="宋体" w:hAnsi="宋体" w:cs="黑体"/>
          <w:color w:val="auto"/>
          <w:szCs w:val="21"/>
          <w:highlight w:val="none"/>
        </w:rPr>
        <w:t>3.1.1工程量清单</w:t>
      </w:r>
    </w:p>
    <w:p>
      <w:pPr>
        <w:adjustRightInd w:val="0"/>
        <w:spacing w:line="360" w:lineRule="auto"/>
        <w:ind w:firstLine="420" w:firstLineChars="200"/>
        <w:jc w:val="both"/>
        <w:rPr>
          <w:rFonts w:ascii="宋体" w:hAnsi="宋体" w:cs="黑体"/>
          <w:color w:val="auto"/>
          <w:szCs w:val="21"/>
          <w:highlight w:val="none"/>
        </w:rPr>
      </w:pPr>
      <w:r>
        <w:rPr>
          <w:rFonts w:hint="eastAsia" w:ascii="宋体" w:hAnsi="宋体" w:cs="黑体"/>
          <w:color w:val="auto"/>
          <w:szCs w:val="21"/>
          <w:highlight w:val="none"/>
        </w:rPr>
        <w:t>是表现本工程分部分项工程项目、措施项目、其他项目、规费项目和税金的名称和相应数量等的明细清单。</w:t>
      </w:r>
    </w:p>
    <w:p>
      <w:pPr>
        <w:adjustRightInd w:val="0"/>
        <w:spacing w:line="360" w:lineRule="auto"/>
        <w:ind w:firstLine="420" w:firstLineChars="200"/>
        <w:jc w:val="both"/>
        <w:rPr>
          <w:rFonts w:ascii="宋体" w:hAnsi="宋体" w:cs="黑体"/>
          <w:color w:val="auto"/>
          <w:szCs w:val="21"/>
          <w:highlight w:val="none"/>
        </w:rPr>
      </w:pPr>
      <w:r>
        <w:rPr>
          <w:rFonts w:hint="eastAsia" w:ascii="宋体" w:hAnsi="宋体" w:cs="黑体"/>
          <w:color w:val="auto"/>
          <w:szCs w:val="21"/>
          <w:highlight w:val="none"/>
        </w:rPr>
        <w:t>3.1.2 总价子目</w:t>
      </w:r>
    </w:p>
    <w:p>
      <w:pPr>
        <w:adjustRightInd w:val="0"/>
        <w:spacing w:line="360" w:lineRule="auto"/>
        <w:ind w:firstLine="420" w:firstLineChars="200"/>
        <w:jc w:val="both"/>
        <w:rPr>
          <w:rFonts w:ascii="宋体" w:hAnsi="宋体" w:cs="黑体"/>
          <w:color w:val="auto"/>
          <w:szCs w:val="21"/>
          <w:highlight w:val="none"/>
        </w:rPr>
      </w:pPr>
      <w:r>
        <w:rPr>
          <w:rFonts w:hint="eastAsia" w:ascii="宋体" w:hAnsi="宋体" w:cs="黑体"/>
          <w:color w:val="auto"/>
          <w:szCs w:val="21"/>
          <w:highlight w:val="none"/>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adjustRightInd w:val="0"/>
        <w:spacing w:line="360" w:lineRule="auto"/>
        <w:ind w:firstLine="420" w:firstLineChars="200"/>
        <w:jc w:val="both"/>
        <w:rPr>
          <w:rFonts w:ascii="宋体" w:hAnsi="宋体" w:cs="黑体"/>
          <w:color w:val="auto"/>
          <w:szCs w:val="21"/>
          <w:highlight w:val="none"/>
        </w:rPr>
      </w:pPr>
      <w:r>
        <w:rPr>
          <w:rFonts w:hint="eastAsia" w:ascii="宋体" w:hAnsi="宋体" w:cs="黑体"/>
          <w:color w:val="auto"/>
          <w:szCs w:val="21"/>
          <w:highlight w:val="none"/>
        </w:rPr>
        <w:t>3.1.3 单价子目</w:t>
      </w:r>
    </w:p>
    <w:p>
      <w:pPr>
        <w:adjustRightInd w:val="0"/>
        <w:spacing w:line="360" w:lineRule="auto"/>
        <w:ind w:firstLine="420" w:firstLineChars="200"/>
        <w:jc w:val="both"/>
        <w:rPr>
          <w:rFonts w:ascii="宋体" w:hAnsi="宋体" w:cs="黑体"/>
          <w:color w:val="auto"/>
          <w:szCs w:val="21"/>
          <w:highlight w:val="none"/>
        </w:rPr>
      </w:pPr>
      <w:r>
        <w:rPr>
          <w:rFonts w:hint="eastAsia" w:ascii="宋体" w:hAnsi="宋体" w:cs="黑体"/>
          <w:color w:val="auto"/>
          <w:szCs w:val="21"/>
          <w:highlight w:val="none"/>
        </w:rPr>
        <w:t>工程量清单中以单价计价，根据有合同约束力的图纸和工程量计算规则进行计量，以实际完成数量乘以相应单价进行结算的子目。</w:t>
      </w:r>
    </w:p>
    <w:p>
      <w:pPr>
        <w:adjustRightInd w:val="0"/>
        <w:spacing w:line="360" w:lineRule="auto"/>
        <w:ind w:firstLine="420" w:firstLineChars="200"/>
        <w:jc w:val="both"/>
        <w:rPr>
          <w:rFonts w:ascii="宋体" w:hAnsi="宋体" w:cs="黑体"/>
          <w:color w:val="auto"/>
          <w:szCs w:val="21"/>
          <w:highlight w:val="none"/>
        </w:rPr>
      </w:pPr>
      <w:r>
        <w:rPr>
          <w:rFonts w:hint="eastAsia" w:ascii="宋体" w:hAnsi="宋体" w:cs="黑体"/>
          <w:color w:val="auto"/>
          <w:szCs w:val="21"/>
          <w:highlight w:val="none"/>
        </w:rPr>
        <w:t>3.1.4 子目编码</w:t>
      </w:r>
    </w:p>
    <w:p>
      <w:pPr>
        <w:adjustRightInd w:val="0"/>
        <w:spacing w:line="360" w:lineRule="auto"/>
        <w:ind w:firstLine="420" w:firstLineChars="200"/>
        <w:jc w:val="both"/>
        <w:rPr>
          <w:rFonts w:ascii="宋体" w:hAnsi="宋体" w:cs="黑体"/>
          <w:color w:val="auto"/>
          <w:szCs w:val="21"/>
          <w:highlight w:val="none"/>
        </w:rPr>
      </w:pPr>
      <w:r>
        <w:rPr>
          <w:rFonts w:hint="eastAsia" w:ascii="宋体" w:hAnsi="宋体" w:cs="黑体"/>
          <w:color w:val="auto"/>
          <w:szCs w:val="21"/>
          <w:highlight w:val="none"/>
        </w:rPr>
        <w:t>分部分项工程项目清单中所列的子目名称的数字标识和代码，子目编码与项目编码同义。</w:t>
      </w:r>
    </w:p>
    <w:p>
      <w:pPr>
        <w:adjustRightInd w:val="0"/>
        <w:spacing w:line="360" w:lineRule="auto"/>
        <w:ind w:firstLine="420" w:firstLineChars="200"/>
        <w:jc w:val="both"/>
        <w:rPr>
          <w:rFonts w:ascii="宋体" w:hAnsi="宋体" w:cs="黑体"/>
          <w:color w:val="auto"/>
          <w:szCs w:val="21"/>
          <w:highlight w:val="none"/>
        </w:rPr>
      </w:pPr>
      <w:r>
        <w:rPr>
          <w:rFonts w:hint="eastAsia" w:ascii="宋体" w:hAnsi="宋体" w:cs="黑体"/>
          <w:color w:val="auto"/>
          <w:szCs w:val="21"/>
          <w:highlight w:val="none"/>
        </w:rPr>
        <w:t>3.1.5 子目特征</w:t>
      </w:r>
    </w:p>
    <w:p>
      <w:pPr>
        <w:adjustRightInd w:val="0"/>
        <w:spacing w:line="360" w:lineRule="auto"/>
        <w:ind w:firstLine="420" w:firstLineChars="200"/>
        <w:jc w:val="both"/>
        <w:rPr>
          <w:rFonts w:ascii="宋体" w:hAnsi="宋体" w:cs="黑体"/>
          <w:color w:val="auto"/>
          <w:szCs w:val="21"/>
          <w:highlight w:val="none"/>
        </w:rPr>
      </w:pPr>
      <w:r>
        <w:rPr>
          <w:rFonts w:hint="eastAsia" w:ascii="宋体" w:hAnsi="宋体" w:cs="黑体"/>
          <w:color w:val="auto"/>
          <w:szCs w:val="21"/>
          <w:highlight w:val="none"/>
        </w:rPr>
        <w:t>构成分部分项工程项目清单子目、措施项目的实质内容、决定其自身价值的本质特征，子目特征与项目特征同义。</w:t>
      </w:r>
    </w:p>
    <w:p>
      <w:pPr>
        <w:adjustRightInd w:val="0"/>
        <w:spacing w:line="360" w:lineRule="auto"/>
        <w:ind w:firstLine="420" w:firstLineChars="200"/>
        <w:jc w:val="both"/>
        <w:rPr>
          <w:rFonts w:ascii="宋体" w:hAnsi="宋体" w:cs="黑体"/>
          <w:color w:val="auto"/>
          <w:szCs w:val="21"/>
          <w:highlight w:val="none"/>
        </w:rPr>
      </w:pPr>
      <w:r>
        <w:rPr>
          <w:rFonts w:hint="eastAsia" w:ascii="宋体" w:hAnsi="宋体" w:cs="黑体"/>
          <w:color w:val="auto"/>
          <w:szCs w:val="21"/>
          <w:highlight w:val="none"/>
        </w:rPr>
        <w:t>3.1.6 规费</w:t>
      </w:r>
    </w:p>
    <w:p>
      <w:pPr>
        <w:adjustRightInd w:val="0"/>
        <w:spacing w:line="360" w:lineRule="auto"/>
        <w:ind w:firstLine="420" w:firstLineChars="200"/>
        <w:jc w:val="both"/>
        <w:rPr>
          <w:rFonts w:ascii="宋体" w:hAnsi="宋体" w:cs="黑体"/>
          <w:color w:val="auto"/>
          <w:szCs w:val="21"/>
          <w:highlight w:val="none"/>
        </w:rPr>
      </w:pPr>
      <w:r>
        <w:rPr>
          <w:rFonts w:hint="eastAsia" w:ascii="宋体" w:hAnsi="宋体" w:cs="黑体"/>
          <w:color w:val="auto"/>
          <w:szCs w:val="21"/>
          <w:highlight w:val="none"/>
        </w:rPr>
        <w:t>承包人根据省级政府或省级有关权力部门规定必须缴纳的，应计入建筑安装工程造价的费用。</w:t>
      </w:r>
    </w:p>
    <w:p>
      <w:pPr>
        <w:adjustRightInd w:val="0"/>
        <w:spacing w:line="360" w:lineRule="auto"/>
        <w:ind w:firstLine="420" w:firstLineChars="200"/>
        <w:jc w:val="both"/>
        <w:rPr>
          <w:rFonts w:ascii="宋体" w:hAnsi="宋体" w:cs="黑体"/>
          <w:color w:val="auto"/>
          <w:szCs w:val="21"/>
          <w:highlight w:val="none"/>
        </w:rPr>
      </w:pPr>
      <w:r>
        <w:rPr>
          <w:rFonts w:hint="eastAsia" w:ascii="宋体" w:hAnsi="宋体" w:cs="黑体"/>
          <w:color w:val="auto"/>
          <w:szCs w:val="21"/>
          <w:highlight w:val="none"/>
        </w:rPr>
        <w:t>3.1.7增值税</w:t>
      </w:r>
    </w:p>
    <w:p>
      <w:pPr>
        <w:spacing w:line="360" w:lineRule="auto"/>
        <w:ind w:firstLine="420" w:firstLineChars="200"/>
        <w:jc w:val="both"/>
        <w:rPr>
          <w:rFonts w:ascii="宋体" w:hAnsi="宋体" w:cs="黑体"/>
          <w:bCs/>
          <w:color w:val="auto"/>
          <w:szCs w:val="21"/>
          <w:highlight w:val="none"/>
        </w:rPr>
      </w:pPr>
      <w:r>
        <w:rPr>
          <w:rFonts w:hint="eastAsia" w:ascii="宋体" w:hAnsi="宋体" w:cs="黑体"/>
          <w:bCs/>
          <w:color w:val="auto"/>
          <w:szCs w:val="21"/>
          <w:highlight w:val="none"/>
        </w:rPr>
        <w:t>增值税即为当期销项税额。</w:t>
      </w:r>
    </w:p>
    <w:p>
      <w:pPr>
        <w:adjustRightInd w:val="0"/>
        <w:spacing w:line="360" w:lineRule="auto"/>
        <w:ind w:firstLine="420" w:firstLineChars="200"/>
        <w:jc w:val="both"/>
        <w:rPr>
          <w:rFonts w:ascii="宋体" w:hAnsi="宋体" w:cs="黑体"/>
          <w:color w:val="auto"/>
          <w:szCs w:val="21"/>
          <w:highlight w:val="none"/>
        </w:rPr>
      </w:pPr>
      <w:r>
        <w:rPr>
          <w:rFonts w:hint="eastAsia" w:ascii="宋体" w:hAnsi="宋体" w:cs="黑体"/>
          <w:color w:val="auto"/>
          <w:szCs w:val="21"/>
          <w:highlight w:val="none"/>
        </w:rPr>
        <w:t>3.1.8 总承包服务费</w:t>
      </w:r>
    </w:p>
    <w:p>
      <w:pPr>
        <w:adjustRightInd w:val="0"/>
        <w:spacing w:line="360" w:lineRule="auto"/>
        <w:ind w:firstLine="420" w:firstLineChars="200"/>
        <w:jc w:val="both"/>
        <w:rPr>
          <w:rFonts w:ascii="宋体" w:hAnsi="宋体" w:cs="黑体"/>
          <w:color w:val="auto"/>
          <w:szCs w:val="21"/>
          <w:highlight w:val="none"/>
        </w:rPr>
      </w:pPr>
      <w:r>
        <w:rPr>
          <w:rFonts w:hint="eastAsia" w:ascii="宋体" w:hAnsi="宋体" w:cs="黑体"/>
          <w:color w:val="auto"/>
          <w:szCs w:val="21"/>
          <w:highlight w:val="none"/>
        </w:rPr>
        <w:t>总承包人为配合协调发包人发包的专业工程以及发包人采购的材料和工程设备等进行管理、服务以及施工现场管理、竣工资料汇总整理等所需的费用。</w:t>
      </w:r>
    </w:p>
    <w:p>
      <w:pPr>
        <w:adjustRightInd w:val="0"/>
        <w:spacing w:line="360" w:lineRule="auto"/>
        <w:ind w:firstLine="420" w:firstLineChars="200"/>
        <w:jc w:val="both"/>
        <w:rPr>
          <w:rFonts w:ascii="宋体" w:hAnsi="宋体" w:cs="黑体"/>
          <w:color w:val="auto"/>
          <w:szCs w:val="21"/>
          <w:highlight w:val="none"/>
        </w:rPr>
      </w:pPr>
      <w:r>
        <w:rPr>
          <w:rFonts w:hint="eastAsia" w:ascii="宋体" w:hAnsi="宋体" w:cs="黑体"/>
          <w:color w:val="auto"/>
          <w:szCs w:val="21"/>
          <w:highlight w:val="none"/>
        </w:rPr>
        <w:t>3.1.9 同义词语</w:t>
      </w:r>
    </w:p>
    <w:p>
      <w:pPr>
        <w:adjustRightInd w:val="0"/>
        <w:spacing w:line="360" w:lineRule="auto"/>
        <w:ind w:firstLine="420" w:firstLineChars="200"/>
        <w:jc w:val="both"/>
        <w:rPr>
          <w:rFonts w:ascii="宋体" w:hAnsi="宋体" w:cs="黑体"/>
          <w:color w:val="auto"/>
          <w:szCs w:val="21"/>
          <w:highlight w:val="none"/>
        </w:rPr>
      </w:pPr>
      <w:r>
        <w:rPr>
          <w:rFonts w:hint="eastAsia" w:ascii="宋体" w:hAnsi="宋体" w:cs="黑体"/>
          <w:color w:val="auto"/>
          <w:szCs w:val="21"/>
          <w:highlight w:val="none"/>
        </w:rPr>
        <w:t>本章中使用的词语“招标人”和“投标人”分别与合同条款中定义的“发包人”和“承包人”同义；就工程量清单而言，“子目”与“项目”同义。</w:t>
      </w:r>
    </w:p>
    <w:p>
      <w:pPr>
        <w:adjustRightInd w:val="0"/>
        <w:spacing w:line="360" w:lineRule="auto"/>
        <w:ind w:firstLine="420" w:firstLineChars="200"/>
        <w:jc w:val="both"/>
        <w:rPr>
          <w:rFonts w:ascii="宋体" w:hAnsi="宋体" w:cs="黑体"/>
          <w:color w:val="auto"/>
          <w:szCs w:val="21"/>
          <w:highlight w:val="none"/>
        </w:rPr>
      </w:pPr>
      <w:r>
        <w:rPr>
          <w:rFonts w:hint="eastAsia" w:ascii="宋体" w:hAnsi="宋体" w:cs="黑体"/>
          <w:color w:val="auto"/>
          <w:szCs w:val="21"/>
          <w:highlight w:val="none"/>
        </w:rPr>
        <w:t>3.2工程量差异调整</w:t>
      </w:r>
    </w:p>
    <w:p>
      <w:pPr>
        <w:adjustRightInd w:val="0"/>
        <w:spacing w:line="360" w:lineRule="auto"/>
        <w:ind w:firstLine="420" w:firstLineChars="200"/>
        <w:jc w:val="both"/>
        <w:rPr>
          <w:rFonts w:ascii="宋体" w:hAnsi="宋体" w:cs="黑体"/>
          <w:color w:val="auto"/>
          <w:szCs w:val="21"/>
          <w:highlight w:val="none"/>
        </w:rPr>
      </w:pPr>
      <w:r>
        <w:rPr>
          <w:rFonts w:hint="eastAsia" w:ascii="宋体" w:hAnsi="宋体" w:cs="黑体"/>
          <w:color w:val="auto"/>
          <w:szCs w:val="21"/>
          <w:highlight w:val="none"/>
        </w:rPr>
        <w:t>3.2.1工程量清单中的工作内容分类、子目列项、特征描述、工作内容以及“分部分项工程量清单与计价表”中附带的工程量都不应理解为是对承包(招标)范围以及合同工作内容的唯一的、最终的或全部的定义。</w:t>
      </w:r>
    </w:p>
    <w:p>
      <w:pPr>
        <w:adjustRightInd w:val="0"/>
        <w:spacing w:line="360" w:lineRule="auto"/>
        <w:ind w:firstLine="420" w:firstLineChars="200"/>
        <w:jc w:val="both"/>
        <w:rPr>
          <w:rFonts w:ascii="宋体" w:hAnsi="宋体" w:cs="黑体"/>
          <w:color w:val="auto"/>
          <w:szCs w:val="21"/>
          <w:highlight w:val="none"/>
        </w:rPr>
      </w:pPr>
      <w:r>
        <w:rPr>
          <w:rFonts w:hint="eastAsia" w:ascii="宋体" w:hAnsi="宋体" w:cs="黑体"/>
          <w:color w:val="auto"/>
          <w:szCs w:val="21"/>
          <w:highlight w:val="none"/>
        </w:rPr>
        <w:t>3.2.2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本条适用总价合同）</w:t>
      </w:r>
    </w:p>
    <w:p>
      <w:pPr>
        <w:spacing w:line="360" w:lineRule="auto"/>
        <w:ind w:firstLine="424" w:firstLineChars="202"/>
        <w:rPr>
          <w:rFonts w:ascii="宋体" w:hAnsi="宋体"/>
          <w:color w:val="auto"/>
          <w:szCs w:val="21"/>
          <w:highlight w:val="none"/>
        </w:rPr>
      </w:pPr>
      <w:r>
        <w:rPr>
          <w:rFonts w:hint="eastAsia" w:ascii="宋体" w:hAnsi="宋体" w:cs="黑体"/>
          <w:color w:val="auto"/>
          <w:szCs w:val="21"/>
          <w:highlight w:val="none"/>
        </w:rPr>
        <w:t>3.2.3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适用总价合同）。投标人在按照工程量清单进行报价时，除按照本节2.7.3项要求对招标人提供的措施项目清单的内容进行细化或增减外，不得改变(包括对工程量清单子目的子目名称、子目特征描述、工作内容、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3.3暂列金额和暂估价</w:t>
      </w:r>
    </w:p>
    <w:p>
      <w:pPr>
        <w:spacing w:line="360" w:lineRule="auto"/>
        <w:ind w:firstLine="424" w:firstLineChars="202"/>
        <w:rPr>
          <w:rFonts w:hint="eastAsia" w:ascii="宋体" w:hAnsi="宋体"/>
          <w:color w:val="auto"/>
          <w:szCs w:val="21"/>
          <w:highlight w:val="none"/>
        </w:rPr>
      </w:pPr>
      <w:bookmarkStart w:id="132" w:name="_Toc440869852"/>
      <w:bookmarkStart w:id="133" w:name="_Toc440870105"/>
      <w:bookmarkStart w:id="134" w:name="_Toc364682214"/>
      <w:bookmarkStart w:id="135" w:name="_Toc364679602"/>
      <w:r>
        <w:rPr>
          <w:rFonts w:hint="eastAsia" w:ascii="宋体" w:hAnsi="宋体"/>
          <w:color w:val="auto"/>
          <w:szCs w:val="21"/>
          <w:highlight w:val="none"/>
        </w:rPr>
        <w:t>3.3.1“暂列金额明细表”中所列暂列金额中已经包含与其对应的管理费、利润，但不含规费和增值税。投标人应按本招标文件规定将此类暂列金额直接纳入其他项目清单的投标价格并计取相应的规费和增值税，不需要考虑除规费和增值税以外的其他任何费用。</w:t>
      </w:r>
    </w:p>
    <w:p>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3.3.2“材料和工程设备暂估价表”中所列的材料和工程设备暂估价是此类材料、工程设备本身运至施工现场内的工地地面价，不包括其本身所对应的管理费、利润、规费、增值税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增值税。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增值税。</w:t>
      </w:r>
    </w:p>
    <w:p>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3.3.3专业工程暂估价表中所列的专业工程暂估价已经包含与其对应的管理费、利润，但不含规费和增值税。投标人应按本招标文件规定将此类暂估价直接纳入其他项目清单的投标价格并计取相应的规费和增值税。除按本招标文件规定将此类暂估价纳入其他项目清单的投标价格并计取相应的规费和增值税以外，投标人还需要根据招标文件规定的内容考虑相应的总承包服务费以及与总承包服务费有关的规费和增值税。</w:t>
      </w:r>
    </w:p>
    <w:p>
      <w:pPr>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3.4其他补充说明</w:t>
      </w:r>
    </w:p>
    <w:p>
      <w:pPr>
        <w:spacing w:line="360" w:lineRule="auto"/>
        <w:ind w:firstLine="424" w:firstLineChars="202"/>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___________________________________________________________________________</w:t>
      </w:r>
    </w:p>
    <w:bookmarkEnd w:id="132"/>
    <w:bookmarkEnd w:id="133"/>
    <w:bookmarkEnd w:id="134"/>
    <w:bookmarkEnd w:id="135"/>
    <w:p>
      <w:pPr>
        <w:spacing w:line="360" w:lineRule="auto"/>
        <w:ind w:right="840"/>
        <w:jc w:val="right"/>
        <w:rPr>
          <w:rFonts w:asciiTheme="minorEastAsia" w:hAnsiTheme="minorEastAsia" w:eastAsiaTheme="minorEastAsia"/>
          <w:color w:val="auto"/>
          <w:szCs w:val="21"/>
          <w:highlight w:val="none"/>
        </w:rPr>
      </w:pPr>
    </w:p>
    <w:p>
      <w:pPr>
        <w:spacing w:line="360" w:lineRule="auto"/>
        <w:ind w:right="840"/>
        <w:jc w:val="right"/>
        <w:rPr>
          <w:rFonts w:asciiTheme="minorEastAsia" w:hAnsiTheme="minorEastAsia" w:eastAsiaTheme="minorEastAsia"/>
          <w:color w:val="auto"/>
          <w:szCs w:val="21"/>
          <w:highlight w:val="none"/>
        </w:rPr>
      </w:pPr>
    </w:p>
    <w:p>
      <w:pPr>
        <w:spacing w:line="360" w:lineRule="auto"/>
        <w:jc w:val="right"/>
        <w:rPr>
          <w:rFonts w:asciiTheme="minorEastAsia" w:hAnsiTheme="minorEastAsia" w:eastAsiaTheme="minorEastAsia"/>
          <w:color w:val="auto"/>
          <w:szCs w:val="21"/>
          <w:highlight w:val="none"/>
        </w:rPr>
      </w:pPr>
    </w:p>
    <w:p>
      <w:pPr>
        <w:widowControl/>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p>
    <w:p>
      <w:pPr>
        <w:spacing w:before="240" w:beforeLines="100" w:after="240" w:afterLines="100" w:line="360" w:lineRule="auto"/>
        <w:jc w:val="center"/>
        <w:rPr>
          <w:rFonts w:asciiTheme="minorEastAsia" w:hAnsiTheme="minorEastAsia" w:eastAsiaTheme="minorEastAsia"/>
          <w:color w:val="auto"/>
          <w:szCs w:val="21"/>
          <w:highlight w:val="none"/>
        </w:rPr>
      </w:pPr>
    </w:p>
    <w:p>
      <w:pPr>
        <w:spacing w:before="240" w:beforeLines="100" w:after="240" w:afterLines="100" w:line="360" w:lineRule="auto"/>
        <w:jc w:val="center"/>
        <w:rPr>
          <w:rFonts w:asciiTheme="minorEastAsia" w:hAnsiTheme="minorEastAsia" w:eastAsiaTheme="minorEastAsia"/>
          <w:color w:val="auto"/>
          <w:szCs w:val="21"/>
          <w:highlight w:val="none"/>
        </w:rPr>
      </w:pPr>
    </w:p>
    <w:p>
      <w:pPr>
        <w:spacing w:before="240" w:beforeLines="100" w:after="240" w:afterLines="100" w:line="360" w:lineRule="auto"/>
        <w:jc w:val="center"/>
        <w:rPr>
          <w:rFonts w:asciiTheme="minorEastAsia" w:hAnsiTheme="minorEastAsia" w:eastAsiaTheme="minorEastAsia"/>
          <w:color w:val="auto"/>
          <w:szCs w:val="21"/>
          <w:highlight w:val="none"/>
        </w:rPr>
      </w:pPr>
    </w:p>
    <w:p>
      <w:pPr>
        <w:spacing w:before="240" w:beforeLines="100" w:after="240" w:afterLines="100" w:line="360" w:lineRule="auto"/>
        <w:jc w:val="center"/>
        <w:rPr>
          <w:rFonts w:asciiTheme="minorEastAsia" w:hAnsiTheme="minorEastAsia" w:eastAsiaTheme="minorEastAsia"/>
          <w:color w:val="auto"/>
          <w:szCs w:val="21"/>
          <w:highlight w:val="none"/>
        </w:rPr>
      </w:pPr>
    </w:p>
    <w:p>
      <w:pPr>
        <w:spacing w:line="360" w:lineRule="auto"/>
        <w:jc w:val="center"/>
        <w:outlineLvl w:val="0"/>
        <w:rPr>
          <w:rFonts w:ascii="宋体" w:hAnsi="宋体"/>
          <w:b/>
          <w:color w:val="auto"/>
          <w:sz w:val="52"/>
          <w:szCs w:val="52"/>
          <w:highlight w:val="none"/>
        </w:rPr>
      </w:pPr>
      <w:bookmarkStart w:id="136" w:name="_Toc17882833"/>
      <w:bookmarkStart w:id="137" w:name="_Toc5204744"/>
      <w:bookmarkStart w:id="138" w:name="_Toc3905314"/>
      <w:r>
        <w:rPr>
          <w:rFonts w:hint="eastAsia" w:ascii="宋体" w:hAnsi="宋体"/>
          <w:b/>
          <w:color w:val="auto"/>
          <w:sz w:val="52"/>
          <w:szCs w:val="52"/>
          <w:highlight w:val="none"/>
        </w:rPr>
        <w:t>第六章  图  纸</w:t>
      </w:r>
      <w:bookmarkEnd w:id="136"/>
      <w:bookmarkEnd w:id="137"/>
      <w:bookmarkEnd w:id="138"/>
    </w:p>
    <w:p>
      <w:pPr>
        <w:spacing w:line="360" w:lineRule="auto"/>
        <w:rPr>
          <w:rFonts w:ascii="宋体" w:hAnsi="宋体"/>
          <w:color w:val="auto"/>
          <w:szCs w:val="21"/>
          <w:highlight w:val="none"/>
        </w:rPr>
        <w:sectPr>
          <w:pgSz w:w="11906" w:h="16838"/>
          <w:pgMar w:top="1440" w:right="1644" w:bottom="1440" w:left="1797" w:header="851" w:footer="674" w:gutter="0"/>
          <w:cols w:space="720" w:num="1"/>
          <w:docGrid w:linePitch="312" w:charSpace="0"/>
        </w:sectPr>
      </w:pPr>
    </w:p>
    <w:p>
      <w:pPr>
        <w:spacing w:line="360" w:lineRule="auto"/>
        <w:jc w:val="left"/>
        <w:outlineLvl w:val="1"/>
        <w:rPr>
          <w:rFonts w:ascii="宋体" w:hAnsi="宋体"/>
          <w:b/>
          <w:color w:val="auto"/>
          <w:szCs w:val="21"/>
          <w:highlight w:val="none"/>
        </w:rPr>
      </w:pPr>
      <w:bookmarkStart w:id="139" w:name="_Toc3905315"/>
      <w:bookmarkStart w:id="140" w:name="_Toc482874359"/>
      <w:bookmarkStart w:id="141" w:name="_Toc5204745"/>
      <w:bookmarkStart w:id="142" w:name="_Toc12363"/>
      <w:bookmarkStart w:id="143" w:name="_Toc440869855"/>
      <w:bookmarkStart w:id="144" w:name="_Toc364679605"/>
      <w:bookmarkStart w:id="145" w:name="_Toc440870108"/>
      <w:bookmarkStart w:id="146" w:name="_Toc450228619"/>
      <w:bookmarkStart w:id="147" w:name="_Toc364682217"/>
      <w:r>
        <w:rPr>
          <w:rFonts w:hint="eastAsia" w:ascii="宋体" w:hAnsi="宋体"/>
          <w:b/>
          <w:color w:val="auto"/>
          <w:szCs w:val="21"/>
          <w:highlight w:val="none"/>
        </w:rPr>
        <w:t>1．图纸目录和图纸</w:t>
      </w:r>
      <w:bookmarkEnd w:id="139"/>
      <w:bookmarkEnd w:id="140"/>
      <w:bookmarkEnd w:id="141"/>
      <w:bookmarkEnd w:id="142"/>
      <w:bookmarkEnd w:id="143"/>
      <w:bookmarkEnd w:id="144"/>
      <w:bookmarkEnd w:id="145"/>
      <w:bookmarkEnd w:id="146"/>
      <w:bookmarkEnd w:id="147"/>
    </w:p>
    <w:p>
      <w:pPr>
        <w:spacing w:line="360" w:lineRule="auto"/>
        <w:jc w:val="left"/>
        <w:outlineLvl w:val="1"/>
        <w:rPr>
          <w:rFonts w:ascii="宋体" w:hAnsi="宋体"/>
          <w:b/>
          <w:color w:val="auto"/>
          <w:szCs w:val="21"/>
          <w:highlight w:val="none"/>
        </w:rPr>
      </w:pPr>
      <w:r>
        <w:rPr>
          <w:rFonts w:hint="eastAsia"/>
          <w:color w:val="auto"/>
          <w:highlight w:val="none"/>
        </w:rPr>
        <w:t>图纸链接：详见投标人须知前附表</w:t>
      </w:r>
    </w:p>
    <w:p>
      <w:pPr>
        <w:spacing w:before="240" w:beforeLines="100" w:after="240" w:afterLines="100" w:line="360" w:lineRule="auto"/>
        <w:jc w:val="center"/>
        <w:rPr>
          <w:rFonts w:asciiTheme="minorEastAsia" w:hAnsiTheme="minorEastAsia" w:eastAsiaTheme="minorEastAsia"/>
          <w:color w:val="auto"/>
          <w:szCs w:val="21"/>
          <w:highlight w:val="none"/>
        </w:rPr>
      </w:pPr>
    </w:p>
    <w:p>
      <w:pPr>
        <w:spacing w:before="240" w:beforeLines="100" w:after="240" w:afterLines="100" w:line="360" w:lineRule="auto"/>
        <w:jc w:val="center"/>
        <w:rPr>
          <w:rFonts w:asciiTheme="minorEastAsia" w:hAnsiTheme="minorEastAsia" w:eastAsiaTheme="minorEastAsia"/>
          <w:color w:val="auto"/>
          <w:szCs w:val="21"/>
          <w:highlight w:val="none"/>
        </w:rPr>
      </w:pPr>
    </w:p>
    <w:p>
      <w:pPr>
        <w:spacing w:before="240" w:beforeLines="100" w:after="240" w:afterLines="100" w:line="360" w:lineRule="auto"/>
        <w:jc w:val="center"/>
        <w:rPr>
          <w:rFonts w:asciiTheme="minorEastAsia" w:hAnsiTheme="minorEastAsia" w:eastAsiaTheme="minorEastAsia"/>
          <w:color w:val="auto"/>
          <w:szCs w:val="21"/>
          <w:highlight w:val="none"/>
        </w:rPr>
      </w:pPr>
    </w:p>
    <w:p>
      <w:pPr>
        <w:spacing w:before="240" w:beforeLines="100" w:after="240" w:afterLines="100" w:line="360" w:lineRule="auto"/>
        <w:jc w:val="center"/>
        <w:rPr>
          <w:rFonts w:asciiTheme="minorEastAsia" w:hAnsiTheme="minorEastAsia" w:eastAsiaTheme="minorEastAsia"/>
          <w:color w:val="auto"/>
          <w:szCs w:val="21"/>
          <w:highlight w:val="none"/>
        </w:rPr>
      </w:pPr>
    </w:p>
    <w:p>
      <w:pPr>
        <w:widowControl/>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p>
    <w:p>
      <w:pPr>
        <w:spacing w:before="240" w:beforeLines="100" w:after="240" w:afterLines="100" w:line="360" w:lineRule="auto"/>
        <w:jc w:val="center"/>
        <w:rPr>
          <w:rFonts w:asciiTheme="minorEastAsia" w:hAnsiTheme="minorEastAsia" w:eastAsiaTheme="minorEastAsia"/>
          <w:color w:val="auto"/>
          <w:szCs w:val="21"/>
          <w:highlight w:val="none"/>
        </w:rPr>
      </w:pPr>
    </w:p>
    <w:p>
      <w:pPr>
        <w:spacing w:before="240" w:beforeLines="100" w:after="240" w:afterLines="100" w:line="360" w:lineRule="auto"/>
        <w:jc w:val="center"/>
        <w:rPr>
          <w:rFonts w:asciiTheme="minorEastAsia" w:hAnsiTheme="minorEastAsia" w:eastAsiaTheme="minorEastAsia"/>
          <w:color w:val="auto"/>
          <w:szCs w:val="21"/>
          <w:highlight w:val="none"/>
        </w:rPr>
      </w:pPr>
    </w:p>
    <w:p>
      <w:pPr>
        <w:spacing w:before="240" w:beforeLines="100" w:after="240" w:afterLines="100" w:line="360" w:lineRule="auto"/>
        <w:jc w:val="center"/>
        <w:rPr>
          <w:rFonts w:asciiTheme="minorEastAsia" w:hAnsiTheme="minorEastAsia" w:eastAsiaTheme="minorEastAsia"/>
          <w:color w:val="auto"/>
          <w:szCs w:val="21"/>
          <w:highlight w:val="none"/>
        </w:rPr>
      </w:pPr>
    </w:p>
    <w:p>
      <w:pPr>
        <w:spacing w:before="240" w:beforeLines="100" w:after="240" w:afterLines="100" w:line="360" w:lineRule="auto"/>
        <w:jc w:val="center"/>
        <w:rPr>
          <w:rFonts w:asciiTheme="minorEastAsia" w:hAnsiTheme="minorEastAsia" w:eastAsiaTheme="minorEastAsia"/>
          <w:color w:val="auto"/>
          <w:szCs w:val="21"/>
          <w:highlight w:val="none"/>
        </w:rPr>
      </w:pPr>
    </w:p>
    <w:p>
      <w:pPr>
        <w:spacing w:before="240" w:beforeLines="100" w:after="240" w:afterLines="100" w:line="360" w:lineRule="auto"/>
        <w:jc w:val="center"/>
        <w:rPr>
          <w:rFonts w:asciiTheme="minorEastAsia" w:hAnsiTheme="minorEastAsia" w:eastAsiaTheme="minorEastAsia"/>
          <w:color w:val="auto"/>
          <w:szCs w:val="21"/>
          <w:highlight w:val="none"/>
        </w:rPr>
      </w:pPr>
    </w:p>
    <w:p>
      <w:pPr>
        <w:spacing w:before="240" w:beforeLines="100" w:after="240" w:afterLines="100" w:line="360" w:lineRule="auto"/>
        <w:jc w:val="center"/>
        <w:rPr>
          <w:rFonts w:asciiTheme="minorEastAsia" w:hAnsiTheme="minorEastAsia" w:eastAsiaTheme="minorEastAsia"/>
          <w:color w:val="auto"/>
          <w:szCs w:val="21"/>
          <w:highlight w:val="none"/>
        </w:rPr>
      </w:pPr>
    </w:p>
    <w:p>
      <w:pPr>
        <w:spacing w:before="240" w:beforeLines="100" w:after="240" w:afterLines="100" w:line="360" w:lineRule="auto"/>
        <w:jc w:val="center"/>
        <w:outlineLvl w:val="0"/>
        <w:rPr>
          <w:rFonts w:ascii="宋体" w:hAnsi="宋体"/>
          <w:b/>
          <w:color w:val="auto"/>
          <w:sz w:val="52"/>
          <w:szCs w:val="52"/>
          <w:highlight w:val="none"/>
        </w:rPr>
      </w:pPr>
      <w:bookmarkStart w:id="148" w:name="_Toc17882834"/>
      <w:r>
        <w:rPr>
          <w:rFonts w:hint="eastAsia" w:ascii="宋体" w:hAnsi="宋体"/>
          <w:b/>
          <w:color w:val="auto"/>
          <w:sz w:val="52"/>
          <w:szCs w:val="52"/>
          <w:highlight w:val="none"/>
        </w:rPr>
        <w:t>第七章  技术标准和要求</w:t>
      </w:r>
      <w:bookmarkEnd w:id="148"/>
    </w:p>
    <w:p>
      <w:pPr>
        <w:spacing w:line="360" w:lineRule="auto"/>
        <w:jc w:val="center"/>
        <w:rPr>
          <w:rFonts w:asciiTheme="minorEastAsia" w:hAnsiTheme="minorEastAsia" w:eastAsiaTheme="minorEastAsia"/>
          <w:color w:val="auto"/>
          <w:szCs w:val="21"/>
          <w:highlight w:val="none"/>
        </w:rPr>
      </w:pPr>
      <w:bookmarkStart w:id="149" w:name="_Toc347825895"/>
      <w:bookmarkStart w:id="150" w:name="_Toc449306071"/>
      <w:bookmarkStart w:id="151" w:name="_Toc364679607"/>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p>
    <w:p>
      <w:pPr>
        <w:widowControl/>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p>
    <w:bookmarkEnd w:id="149"/>
    <w:bookmarkEnd w:id="150"/>
    <w:bookmarkEnd w:id="151"/>
    <w:p>
      <w:pPr>
        <w:spacing w:line="360" w:lineRule="auto"/>
        <w:jc w:val="center"/>
        <w:outlineLvl w:val="1"/>
        <w:rPr>
          <w:rFonts w:ascii="宋体" w:hAnsi="宋体"/>
          <w:b/>
          <w:color w:val="auto"/>
          <w:szCs w:val="21"/>
          <w:highlight w:val="none"/>
        </w:rPr>
      </w:pPr>
      <w:bookmarkStart w:id="152" w:name="_Toc5204747"/>
      <w:bookmarkStart w:id="153" w:name="_Toc3905317"/>
      <w:bookmarkStart w:id="154" w:name="_Toc482874361"/>
      <w:bookmarkStart w:id="155" w:name="_Toc450228621"/>
      <w:r>
        <w:rPr>
          <w:rFonts w:hint="eastAsia" w:ascii="宋体" w:hAnsi="宋体"/>
          <w:b/>
          <w:color w:val="auto"/>
          <w:szCs w:val="21"/>
          <w:highlight w:val="none"/>
        </w:rPr>
        <w:t>第一节 一般要求</w:t>
      </w:r>
      <w:bookmarkEnd w:id="152"/>
      <w:bookmarkEnd w:id="153"/>
      <w:bookmarkEnd w:id="154"/>
      <w:bookmarkEnd w:id="155"/>
    </w:p>
    <w:p>
      <w:pPr>
        <w:spacing w:line="360" w:lineRule="auto"/>
        <w:ind w:left="1050" w:hanging="1050" w:hangingChars="500"/>
        <w:outlineLvl w:val="2"/>
        <w:rPr>
          <w:rFonts w:ascii="宋体" w:hAnsi="宋体"/>
          <w:color w:val="auto"/>
          <w:szCs w:val="21"/>
          <w:highlight w:val="none"/>
        </w:rPr>
      </w:pPr>
      <w:bookmarkStart w:id="156" w:name="_Toc364682220"/>
      <w:bookmarkStart w:id="157" w:name="_Toc440870111"/>
      <w:bookmarkStart w:id="158" w:name="_Toc440869858"/>
      <w:bookmarkStart w:id="159" w:name="_Toc364679608"/>
      <w:r>
        <w:rPr>
          <w:rFonts w:hint="eastAsia" w:ascii="宋体" w:hAnsi="宋体"/>
          <w:color w:val="auto"/>
          <w:szCs w:val="21"/>
          <w:highlight w:val="none"/>
        </w:rPr>
        <w:t>1.工程说明</w:t>
      </w:r>
      <w:bookmarkEnd w:id="156"/>
      <w:bookmarkEnd w:id="157"/>
      <w:bookmarkEnd w:id="158"/>
      <w:bookmarkEnd w:id="159"/>
    </w:p>
    <w:p>
      <w:pPr>
        <w:spacing w:line="360" w:lineRule="auto"/>
        <w:ind w:left="420" w:hanging="420" w:hangingChars="200"/>
        <w:rPr>
          <w:rFonts w:ascii="宋体" w:hAnsi="宋体"/>
          <w:color w:val="auto"/>
          <w:szCs w:val="21"/>
          <w:highlight w:val="none"/>
        </w:rPr>
      </w:pPr>
      <w:r>
        <w:rPr>
          <w:rFonts w:hint="eastAsia" w:ascii="宋体" w:hAnsi="宋体"/>
          <w:color w:val="auto"/>
          <w:szCs w:val="21"/>
          <w:highlight w:val="none"/>
        </w:rPr>
        <w:t>1.1 工程概况</w:t>
      </w:r>
    </w:p>
    <w:p>
      <w:pPr>
        <w:spacing w:line="360" w:lineRule="auto"/>
        <w:ind w:left="479" w:leftChars="228"/>
        <w:rPr>
          <w:rFonts w:ascii="宋体" w:hAnsi="宋体"/>
          <w:color w:val="auto"/>
          <w:szCs w:val="21"/>
          <w:highlight w:val="none"/>
        </w:rPr>
      </w:pPr>
      <w:r>
        <w:rPr>
          <w:rFonts w:hint="eastAsia" w:ascii="宋体" w:hAnsi="宋体"/>
          <w:color w:val="auto"/>
          <w:szCs w:val="21"/>
          <w:highlight w:val="none"/>
        </w:rPr>
        <w:t>1.1.1工程名称：</w:t>
      </w:r>
      <w:r>
        <w:rPr>
          <w:rFonts w:hint="eastAsia" w:ascii="宋体" w:hAnsi="宋体"/>
          <w:color w:val="auto"/>
          <w:szCs w:val="21"/>
          <w:highlight w:val="none"/>
          <w:lang w:eastAsia="zh-CN"/>
        </w:rPr>
        <w:t>上海市养志康复医院（上海市阳光康复中心）门诊、康复治疗场地调整装修</w:t>
      </w:r>
    </w:p>
    <w:p>
      <w:pPr>
        <w:spacing w:line="360" w:lineRule="auto"/>
        <w:ind w:left="479" w:leftChars="228"/>
        <w:rPr>
          <w:rFonts w:ascii="宋体" w:hAnsi="宋体"/>
          <w:color w:val="auto"/>
          <w:szCs w:val="21"/>
          <w:highlight w:val="none"/>
        </w:rPr>
      </w:pPr>
      <w:r>
        <w:rPr>
          <w:rFonts w:hint="eastAsia" w:ascii="宋体" w:hAnsi="宋体"/>
          <w:color w:val="auto"/>
          <w:szCs w:val="21"/>
          <w:highlight w:val="none"/>
        </w:rPr>
        <w:t>1.1.2工程地址：上海市松江区</w:t>
      </w:r>
    </w:p>
    <w:p>
      <w:pPr>
        <w:spacing w:line="360" w:lineRule="auto"/>
        <w:ind w:firstLine="476" w:firstLineChars="227"/>
        <w:rPr>
          <w:rFonts w:ascii="宋体" w:hAnsi="宋体"/>
          <w:color w:val="auto"/>
          <w:szCs w:val="21"/>
          <w:highlight w:val="none"/>
        </w:rPr>
      </w:pPr>
      <w:r>
        <w:rPr>
          <w:rFonts w:hint="eastAsia" w:ascii="宋体" w:hAnsi="宋体"/>
          <w:color w:val="auto"/>
          <w:szCs w:val="21"/>
          <w:highlight w:val="none"/>
        </w:rPr>
        <w:t>1.1.3工程规模：本项目</w:t>
      </w:r>
      <w:r>
        <w:rPr>
          <w:rFonts w:hint="eastAsia" w:ascii="宋体" w:hAnsi="宋体"/>
          <w:color w:val="auto"/>
          <w:szCs w:val="21"/>
          <w:highlight w:val="none"/>
          <w:lang w:val="en-US" w:eastAsia="zh-CN"/>
        </w:rPr>
        <w:t>主要是</w:t>
      </w:r>
      <w:r>
        <w:rPr>
          <w:rFonts w:hint="eastAsia" w:ascii="宋体" w:hAnsi="宋体"/>
          <w:color w:val="auto"/>
          <w:szCs w:val="21"/>
          <w:highlight w:val="none"/>
          <w:lang w:eastAsia="zh-CN"/>
        </w:rPr>
        <w:t>上海市养志康复医院（上海市阳光康复中心）门诊、康复治疗场地</w:t>
      </w:r>
      <w:r>
        <w:rPr>
          <w:rFonts w:hint="eastAsia" w:ascii="宋体" w:hAnsi="宋体"/>
          <w:color w:val="auto"/>
          <w:szCs w:val="21"/>
          <w:highlight w:val="none"/>
          <w:lang w:val="en-US" w:eastAsia="zh-CN"/>
        </w:rPr>
        <w:t>的调整装修，主要内容包括拆除工程、电气工程、暖通工程以及给排水工程等</w:t>
      </w:r>
      <w:r>
        <w:rPr>
          <w:rFonts w:hint="eastAsia" w:ascii="宋体" w:hAnsi="宋体"/>
          <w:color w:val="auto"/>
          <w:szCs w:val="21"/>
          <w:highlight w:val="none"/>
        </w:rPr>
        <w:t>。</w:t>
      </w:r>
    </w:p>
    <w:p>
      <w:pPr>
        <w:spacing w:line="360" w:lineRule="auto"/>
        <w:ind w:firstLine="476" w:firstLineChars="227"/>
        <w:rPr>
          <w:rFonts w:ascii="宋体" w:hAnsi="宋体"/>
          <w:color w:val="auto"/>
          <w:szCs w:val="21"/>
          <w:highlight w:val="none"/>
        </w:rPr>
      </w:pPr>
      <w:r>
        <w:rPr>
          <w:rFonts w:hint="eastAsia" w:ascii="宋体" w:hAnsi="宋体"/>
          <w:color w:val="auto"/>
          <w:szCs w:val="21"/>
          <w:highlight w:val="none"/>
        </w:rPr>
        <w:t>（以上仅为该工程的简要描述，正式施工时施工范围以采购人、施工单位、监理单位三方共同确认的图纸和其它书面的工作内容及施工要求为准）</w:t>
      </w:r>
    </w:p>
    <w:p>
      <w:pPr>
        <w:spacing w:line="360" w:lineRule="auto"/>
        <w:ind w:left="420" w:hanging="420" w:hangingChars="200"/>
        <w:rPr>
          <w:rFonts w:ascii="宋体" w:hAnsi="宋体"/>
          <w:color w:val="auto"/>
          <w:szCs w:val="21"/>
          <w:highlight w:val="none"/>
        </w:rPr>
      </w:pPr>
      <w:r>
        <w:rPr>
          <w:rFonts w:hint="eastAsia" w:ascii="宋体" w:hAnsi="宋体"/>
          <w:color w:val="auto"/>
          <w:szCs w:val="21"/>
          <w:highlight w:val="none"/>
        </w:rPr>
        <w:t>1.2 现场条件和周围环境</w:t>
      </w:r>
    </w:p>
    <w:p>
      <w:pPr>
        <w:spacing w:line="360" w:lineRule="auto"/>
        <w:ind w:firstLine="476" w:firstLineChars="227"/>
        <w:rPr>
          <w:rFonts w:ascii="宋体" w:hAnsi="宋体"/>
          <w:color w:val="auto"/>
          <w:szCs w:val="21"/>
          <w:highlight w:val="none"/>
        </w:rPr>
      </w:pPr>
      <w:r>
        <w:rPr>
          <w:rFonts w:hint="eastAsia" w:ascii="宋体" w:hAnsi="宋体"/>
          <w:color w:val="auto"/>
          <w:szCs w:val="21"/>
          <w:highlight w:val="none"/>
        </w:rPr>
        <w:t>1.2.1 本工程施工场地(现场)已经基本满足具备施工条件。采购人为本工程施工可提供满足施工需要的施工用临电、施工用临水。</w:t>
      </w:r>
    </w:p>
    <w:p>
      <w:pPr>
        <w:spacing w:line="360" w:lineRule="auto"/>
        <w:ind w:firstLine="476" w:firstLineChars="227"/>
        <w:rPr>
          <w:rFonts w:ascii="宋体" w:hAnsi="宋体"/>
          <w:color w:val="auto"/>
          <w:szCs w:val="21"/>
          <w:highlight w:val="none"/>
        </w:rPr>
      </w:pPr>
      <w:r>
        <w:rPr>
          <w:rFonts w:hint="eastAsia" w:ascii="宋体" w:hAnsi="宋体"/>
          <w:color w:val="auto"/>
          <w:szCs w:val="21"/>
          <w:highlight w:val="none"/>
        </w:rPr>
        <w:t>1.2.2 施工期间的临电头子由采购人在踏勘现场时告知接驳位置。施工用临电接驳以及施工区域内的临电布线和接装计量表具由投标人负责（包括投标人另需增加临电容量的接驳），相应的费用由投标人承担。</w:t>
      </w:r>
    </w:p>
    <w:p>
      <w:pPr>
        <w:spacing w:line="360" w:lineRule="auto"/>
        <w:ind w:firstLine="476" w:firstLineChars="227"/>
        <w:rPr>
          <w:rFonts w:ascii="宋体" w:hAnsi="宋体"/>
          <w:color w:val="auto"/>
          <w:szCs w:val="21"/>
          <w:highlight w:val="none"/>
        </w:rPr>
      </w:pPr>
      <w:r>
        <w:rPr>
          <w:rFonts w:hint="eastAsia" w:ascii="宋体" w:hAnsi="宋体"/>
          <w:color w:val="auto"/>
          <w:szCs w:val="21"/>
          <w:highlight w:val="none"/>
        </w:rPr>
        <w:t>1.2.3承包人被认为已在本工程投标阶段踏勘现场时充分了解本工程现场条件和周围环境，并已在其投标时就此给予了充分的考虑。</w:t>
      </w:r>
    </w:p>
    <w:p>
      <w:pPr>
        <w:spacing w:line="360" w:lineRule="auto"/>
        <w:ind w:left="420" w:hanging="420" w:hangingChars="200"/>
        <w:rPr>
          <w:rFonts w:ascii="宋体" w:hAnsi="宋体"/>
          <w:color w:val="auto"/>
          <w:szCs w:val="21"/>
          <w:highlight w:val="none"/>
        </w:rPr>
      </w:pPr>
      <w:r>
        <w:rPr>
          <w:rFonts w:hint="eastAsia" w:ascii="宋体" w:hAnsi="宋体"/>
          <w:color w:val="auto"/>
          <w:szCs w:val="21"/>
          <w:highlight w:val="none"/>
        </w:rPr>
        <w:t>1.3 地质及水文资料</w:t>
      </w:r>
    </w:p>
    <w:p>
      <w:pPr>
        <w:spacing w:line="360" w:lineRule="auto"/>
        <w:ind w:left="479" w:leftChars="228"/>
        <w:rPr>
          <w:rFonts w:ascii="宋体" w:hAnsi="宋体"/>
          <w:color w:val="auto"/>
          <w:szCs w:val="21"/>
          <w:highlight w:val="none"/>
        </w:rPr>
      </w:pPr>
      <w:r>
        <w:rPr>
          <w:rFonts w:hint="eastAsia" w:ascii="宋体" w:hAnsi="宋体"/>
          <w:color w:val="auto"/>
          <w:szCs w:val="21"/>
          <w:highlight w:val="none"/>
        </w:rPr>
        <w:t>1.3.1 现场地质及水文资料和信息数据如下：</w:t>
      </w:r>
      <w:r>
        <w:rPr>
          <w:rFonts w:hint="eastAsia" w:ascii="宋体" w:hAnsi="宋体"/>
          <w:color w:val="auto"/>
          <w:szCs w:val="21"/>
          <w:highlight w:val="none"/>
          <w:u w:val="single"/>
        </w:rPr>
        <w:t>无</w:t>
      </w:r>
    </w:p>
    <w:p>
      <w:pPr>
        <w:spacing w:line="360" w:lineRule="auto"/>
        <w:ind w:left="1050" w:hanging="1050" w:hangingChars="500"/>
        <w:rPr>
          <w:rFonts w:ascii="宋体" w:hAnsi="宋体"/>
          <w:color w:val="auto"/>
          <w:szCs w:val="21"/>
          <w:highlight w:val="none"/>
        </w:rPr>
      </w:pPr>
      <w:r>
        <w:rPr>
          <w:rFonts w:hint="eastAsia" w:ascii="宋体" w:hAnsi="宋体"/>
          <w:color w:val="auto"/>
          <w:szCs w:val="21"/>
          <w:highlight w:val="none"/>
        </w:rPr>
        <w:t>1.4 资料和信息的使用</w:t>
      </w:r>
    </w:p>
    <w:p>
      <w:pPr>
        <w:spacing w:line="360" w:lineRule="auto"/>
        <w:ind w:left="-4" w:leftChars="-2" w:firstLine="420" w:firstLineChars="200"/>
        <w:rPr>
          <w:rFonts w:ascii="宋体" w:hAnsi="宋体"/>
          <w:color w:val="auto"/>
          <w:szCs w:val="21"/>
          <w:highlight w:val="none"/>
        </w:rPr>
      </w:pPr>
      <w:r>
        <w:rPr>
          <w:rFonts w:hint="eastAsia" w:ascii="宋体" w:hAnsi="宋体"/>
          <w:color w:val="auto"/>
          <w:szCs w:val="21"/>
          <w:highlight w:val="none"/>
        </w:rPr>
        <w:t>1.4.1 涉及本工程现场条件、周围环境、地质及水文等情况的资料和信息数据，是发包人现有的和客观的，发包人保证有关资料和信息数据的真实、准确。但承包人据此作出的推论、判断和决策，由承包人自行负责。</w:t>
      </w:r>
    </w:p>
    <w:p>
      <w:pPr>
        <w:spacing w:line="360" w:lineRule="auto"/>
        <w:ind w:left="1050" w:hanging="1050" w:hangingChars="500"/>
        <w:outlineLvl w:val="2"/>
        <w:rPr>
          <w:rFonts w:ascii="宋体" w:hAnsi="宋体"/>
          <w:color w:val="auto"/>
          <w:szCs w:val="21"/>
          <w:highlight w:val="none"/>
        </w:rPr>
      </w:pPr>
      <w:bookmarkStart w:id="160" w:name="_Toc440869859"/>
      <w:bookmarkStart w:id="161" w:name="_Toc364679609"/>
      <w:bookmarkStart w:id="162" w:name="_Toc364682221"/>
      <w:bookmarkStart w:id="163" w:name="_Toc440870112"/>
      <w:r>
        <w:rPr>
          <w:rFonts w:hint="eastAsia" w:ascii="宋体" w:hAnsi="宋体"/>
          <w:color w:val="auto"/>
          <w:szCs w:val="21"/>
          <w:highlight w:val="none"/>
        </w:rPr>
        <w:t>2.承包范围</w:t>
      </w:r>
      <w:bookmarkEnd w:id="160"/>
      <w:bookmarkEnd w:id="161"/>
      <w:bookmarkEnd w:id="162"/>
      <w:bookmarkEnd w:id="163"/>
    </w:p>
    <w:p>
      <w:pPr>
        <w:spacing w:line="360" w:lineRule="auto"/>
        <w:ind w:left="1050" w:hanging="1050" w:hangingChars="500"/>
        <w:rPr>
          <w:rFonts w:ascii="宋体" w:hAnsi="宋体"/>
          <w:color w:val="auto"/>
          <w:szCs w:val="21"/>
          <w:highlight w:val="none"/>
        </w:rPr>
      </w:pPr>
      <w:r>
        <w:rPr>
          <w:rFonts w:ascii="宋体" w:hAnsi="宋体"/>
          <w:color w:val="auto"/>
          <w:szCs w:val="21"/>
          <w:highlight w:val="none"/>
        </w:rPr>
        <w:t xml:space="preserve">2.1 </w:t>
      </w:r>
      <w:r>
        <w:rPr>
          <w:rFonts w:hint="eastAsia" w:ascii="宋体" w:hAnsi="宋体"/>
          <w:color w:val="auto"/>
          <w:szCs w:val="21"/>
          <w:highlight w:val="none"/>
        </w:rPr>
        <w:t>自行施工范围、暂估价和暂列金额项目</w:t>
      </w:r>
    </w:p>
    <w:p>
      <w:pPr>
        <w:spacing w:line="360" w:lineRule="auto"/>
        <w:ind w:left="1109" w:leftChars="228" w:hanging="630" w:hangingChars="300"/>
        <w:rPr>
          <w:rFonts w:ascii="宋体" w:hAnsi="宋体"/>
          <w:color w:val="auto"/>
          <w:szCs w:val="21"/>
          <w:highlight w:val="none"/>
        </w:rPr>
      </w:pPr>
      <w:r>
        <w:rPr>
          <w:rFonts w:hint="eastAsia" w:ascii="宋体" w:hAnsi="宋体"/>
          <w:color w:val="auto"/>
          <w:szCs w:val="21"/>
          <w:highlight w:val="none"/>
        </w:rPr>
        <w:t>2.1.1 承包人自行施工范围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本工程承包人自行施工的工程范围如下：</w:t>
      </w:r>
      <w:r>
        <w:rPr>
          <w:rFonts w:hint="eastAsia" w:ascii="宋体" w:hAnsi="宋体"/>
          <w:color w:val="auto"/>
          <w:szCs w:val="21"/>
          <w:highlight w:val="none"/>
          <w:u w:val="single"/>
        </w:rPr>
        <w:t xml:space="preserve">按发包人要求  </w:t>
      </w:r>
      <w:r>
        <w:rPr>
          <w:rFonts w:hint="eastAsia" w:ascii="宋体" w:hAnsi="宋体"/>
          <w:color w:val="auto"/>
          <w:szCs w:val="21"/>
          <w:highlight w:val="none"/>
        </w:rPr>
        <w:t>。</w:t>
      </w:r>
    </w:p>
    <w:p>
      <w:pPr>
        <w:spacing w:line="360" w:lineRule="auto"/>
        <w:ind w:left="1109" w:leftChars="228" w:hanging="630" w:hangingChars="300"/>
        <w:rPr>
          <w:rFonts w:ascii="宋体" w:hAnsi="宋体"/>
          <w:color w:val="auto"/>
          <w:szCs w:val="21"/>
          <w:highlight w:val="none"/>
        </w:rPr>
      </w:pPr>
      <w:r>
        <w:rPr>
          <w:rFonts w:hint="eastAsia" w:ascii="宋体" w:hAnsi="宋体"/>
          <w:color w:val="auto"/>
          <w:szCs w:val="21"/>
          <w:highlight w:val="none"/>
        </w:rPr>
        <w:t>2.1.2  承包范围内的暂估价项目</w:t>
      </w:r>
    </w:p>
    <w:p>
      <w:pPr>
        <w:spacing w:line="360" w:lineRule="auto"/>
        <w:ind w:left="361" w:leftChars="172" w:firstLine="117" w:firstLineChars="56"/>
        <w:rPr>
          <w:rFonts w:ascii="宋体" w:hAnsi="宋体"/>
          <w:color w:val="auto"/>
          <w:szCs w:val="21"/>
          <w:highlight w:val="none"/>
        </w:rPr>
      </w:pPr>
      <w:r>
        <w:rPr>
          <w:rFonts w:hint="eastAsia" w:ascii="宋体" w:hAnsi="宋体"/>
          <w:color w:val="auto"/>
          <w:szCs w:val="21"/>
          <w:highlight w:val="none"/>
        </w:rPr>
        <w:t>（1） 承包范围内以暂估价形式实施的专业工程见第五章“工程量清单”中“专业工程暂估价表”。</w:t>
      </w:r>
    </w:p>
    <w:p>
      <w:pPr>
        <w:tabs>
          <w:tab w:val="left" w:pos="1260"/>
        </w:tabs>
        <w:spacing w:line="360" w:lineRule="auto"/>
        <w:ind w:left="361" w:leftChars="172" w:firstLine="117" w:firstLineChars="56"/>
        <w:rPr>
          <w:rFonts w:ascii="宋体" w:hAnsi="宋体"/>
          <w:color w:val="auto"/>
          <w:szCs w:val="21"/>
          <w:highlight w:val="none"/>
        </w:rPr>
      </w:pPr>
      <w:r>
        <w:rPr>
          <w:rFonts w:hint="eastAsia" w:ascii="宋体" w:hAnsi="宋体"/>
          <w:color w:val="auto"/>
          <w:szCs w:val="21"/>
          <w:highlight w:val="none"/>
        </w:rPr>
        <w:t>（2） 承包范围内以暂估价形式实施的材料和工程设备见第五章“工程量清单”中“材料和工程设备暂估单价表”。</w:t>
      </w:r>
    </w:p>
    <w:p>
      <w:pPr>
        <w:spacing w:line="360" w:lineRule="auto"/>
        <w:ind w:left="794" w:leftChars="228" w:hanging="315" w:hangingChars="150"/>
        <w:rPr>
          <w:rFonts w:ascii="宋体" w:hAnsi="宋体"/>
          <w:color w:val="auto"/>
          <w:szCs w:val="21"/>
          <w:highlight w:val="none"/>
        </w:rPr>
      </w:pPr>
      <w:r>
        <w:rPr>
          <w:rFonts w:hint="eastAsia" w:ascii="宋体" w:hAnsi="宋体"/>
          <w:color w:val="auto"/>
          <w:szCs w:val="21"/>
          <w:highlight w:val="none"/>
        </w:rPr>
        <w:t>（3） 上述暂估价项目与本节第2.1.1项承包人自行施工范围的工作界面划分如下：</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left="794" w:leftChars="228" w:hanging="315" w:hangingChars="150"/>
        <w:rPr>
          <w:rFonts w:ascii="宋体" w:hAnsi="宋体"/>
          <w:color w:val="auto"/>
          <w:szCs w:val="21"/>
          <w:highlight w:val="none"/>
        </w:rPr>
      </w:pPr>
      <w:r>
        <w:rPr>
          <w:rFonts w:hint="eastAsia" w:ascii="宋体" w:hAnsi="宋体"/>
          <w:color w:val="auto"/>
          <w:szCs w:val="21"/>
          <w:highlight w:val="none"/>
        </w:rPr>
        <w:t>2.1.3 承包范围内的暂列金额项目</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(1) 承包范围内以暂列金额方式实施的项目见第五章“工程量清单”中“暂列金额明细表”和“计日工表”，其中计日工金额为承包人在其投标报价中按“计日工表”所列计日工子目、数量和相应规定填报的金额。</w:t>
      </w:r>
    </w:p>
    <w:p>
      <w:pPr>
        <w:spacing w:line="360" w:lineRule="auto"/>
        <w:ind w:firstLine="476" w:firstLineChars="227"/>
        <w:rPr>
          <w:rFonts w:ascii="宋体" w:hAnsi="宋体"/>
          <w:color w:val="auto"/>
          <w:szCs w:val="21"/>
          <w:highlight w:val="none"/>
        </w:rPr>
      </w:pPr>
      <w:r>
        <w:rPr>
          <w:rFonts w:hint="eastAsia" w:ascii="宋体" w:hAnsi="宋体"/>
          <w:color w:val="auto"/>
          <w:szCs w:val="21"/>
          <w:highlight w:val="none"/>
        </w:rPr>
        <w:t xml:space="preserve"> (2)暂列金额明细表中每笔暂列金额所对应的子目，均只是可能发生的子目。承包人应当充分认识到，合同履行过程中所列暂列金额可能不发生，也可能部分发生。即便发生，工程师按照合同约定发出的使用暂列金额的指示也不限于只能用于表中所列子目。</w:t>
      </w:r>
    </w:p>
    <w:p>
      <w:pPr>
        <w:spacing w:line="360" w:lineRule="auto"/>
        <w:ind w:left="477"/>
        <w:rPr>
          <w:rFonts w:ascii="宋体" w:hAnsi="宋体"/>
          <w:color w:val="auto"/>
          <w:szCs w:val="21"/>
          <w:highlight w:val="none"/>
        </w:rPr>
      </w:pPr>
      <w:r>
        <w:rPr>
          <w:rFonts w:hint="eastAsia" w:ascii="宋体" w:hAnsi="宋体"/>
          <w:color w:val="auto"/>
          <w:szCs w:val="21"/>
          <w:highlight w:val="none"/>
        </w:rPr>
        <w:t>(3)暂列金额是否实际发生、其再分和合并等均不应成为承包人要求任何追加费用和</w:t>
      </w:r>
    </w:p>
    <w:p>
      <w:pPr>
        <w:spacing w:line="360" w:lineRule="auto"/>
        <w:rPr>
          <w:rFonts w:ascii="宋体" w:hAnsi="宋体"/>
          <w:color w:val="auto"/>
          <w:szCs w:val="21"/>
          <w:highlight w:val="none"/>
        </w:rPr>
      </w:pPr>
      <w:r>
        <w:rPr>
          <w:rFonts w:hint="eastAsia" w:ascii="宋体" w:hAnsi="宋体"/>
          <w:color w:val="auto"/>
          <w:szCs w:val="21"/>
          <w:highlight w:val="none"/>
        </w:rPr>
        <w:t>(或)延长工期的理由。</w:t>
      </w:r>
    </w:p>
    <w:p>
      <w:pPr>
        <w:spacing w:line="360" w:lineRule="auto"/>
        <w:ind w:left="794" w:leftChars="228" w:hanging="315" w:hangingChars="150"/>
        <w:rPr>
          <w:rFonts w:ascii="宋体" w:hAnsi="宋体"/>
          <w:color w:val="auto"/>
          <w:szCs w:val="21"/>
          <w:highlight w:val="none"/>
        </w:rPr>
      </w:pPr>
      <w:r>
        <w:rPr>
          <w:rFonts w:hint="eastAsia" w:ascii="宋体" w:hAnsi="宋体"/>
          <w:color w:val="auto"/>
          <w:szCs w:val="21"/>
          <w:highlight w:val="none"/>
        </w:rPr>
        <w:t>(4)  关于暂列金额的其他说明：</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left="735" w:hanging="735" w:hangingChars="350"/>
        <w:rPr>
          <w:rFonts w:ascii="宋体" w:hAnsi="宋体"/>
          <w:color w:val="auto"/>
          <w:szCs w:val="21"/>
          <w:highlight w:val="none"/>
        </w:rPr>
      </w:pPr>
      <w:r>
        <w:rPr>
          <w:rFonts w:hint="eastAsia" w:ascii="宋体" w:hAnsi="宋体"/>
          <w:color w:val="auto"/>
          <w:szCs w:val="21"/>
          <w:highlight w:val="none"/>
        </w:rPr>
        <w:t>2.2 发包人发包专业工程和发包人提供的材料和工程设备</w:t>
      </w:r>
    </w:p>
    <w:p>
      <w:pPr>
        <w:spacing w:line="360" w:lineRule="auto"/>
        <w:ind w:left="794" w:leftChars="228" w:hanging="315" w:hangingChars="150"/>
        <w:rPr>
          <w:rFonts w:ascii="宋体" w:hAnsi="宋体"/>
          <w:color w:val="auto"/>
          <w:szCs w:val="21"/>
          <w:highlight w:val="none"/>
        </w:rPr>
      </w:pPr>
      <w:r>
        <w:rPr>
          <w:rFonts w:hint="eastAsia" w:ascii="宋体" w:hAnsi="宋体"/>
          <w:color w:val="auto"/>
          <w:szCs w:val="21"/>
          <w:highlight w:val="none"/>
        </w:rPr>
        <w:t>2.2.1 由发包人发包的专业工程属于与本工程有关的其他工程，不属于承包人的承包</w:t>
      </w:r>
    </w:p>
    <w:p>
      <w:pPr>
        <w:spacing w:line="360" w:lineRule="auto"/>
        <w:rPr>
          <w:rFonts w:ascii="宋体" w:hAnsi="宋体"/>
          <w:color w:val="auto"/>
          <w:szCs w:val="21"/>
          <w:highlight w:val="none"/>
        </w:rPr>
      </w:pPr>
      <w:r>
        <w:rPr>
          <w:rFonts w:hint="eastAsia" w:ascii="宋体" w:hAnsi="宋体"/>
          <w:color w:val="auto"/>
          <w:szCs w:val="21"/>
          <w:highlight w:val="none"/>
        </w:rPr>
        <w:t>范围。发包人发包的专业工程如下：</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rPr>
          <w:rFonts w:ascii="宋体" w:hAnsi="宋体"/>
          <w:color w:val="auto"/>
          <w:szCs w:val="21"/>
          <w:highlight w:val="none"/>
        </w:rPr>
      </w:pPr>
      <w:r>
        <w:rPr>
          <w:rFonts w:hint="eastAsia" w:ascii="宋体" w:hAnsi="宋体"/>
          <w:color w:val="auto"/>
          <w:szCs w:val="21"/>
          <w:highlight w:val="none"/>
        </w:rPr>
        <w:t>2.2.2由发包人提供的材料和工程设备不属于承包人的承包范围。</w:t>
      </w:r>
    </w:p>
    <w:p>
      <w:pPr>
        <w:spacing w:line="360" w:lineRule="auto"/>
        <w:ind w:left="735" w:hanging="735" w:hangingChars="350"/>
        <w:rPr>
          <w:rFonts w:ascii="宋体" w:hAnsi="宋体"/>
          <w:color w:val="auto"/>
          <w:szCs w:val="21"/>
          <w:highlight w:val="none"/>
        </w:rPr>
      </w:pPr>
      <w:r>
        <w:rPr>
          <w:rFonts w:hint="eastAsia" w:ascii="宋体" w:hAnsi="宋体"/>
          <w:color w:val="auto"/>
          <w:szCs w:val="21"/>
          <w:highlight w:val="none"/>
        </w:rPr>
        <w:t>2.3 承包人与发包人发包专业工程承包人的工作界面</w:t>
      </w:r>
    </w:p>
    <w:p>
      <w:pPr>
        <w:spacing w:line="360" w:lineRule="auto"/>
        <w:ind w:left="794" w:leftChars="228" w:hanging="315" w:hangingChars="150"/>
        <w:rPr>
          <w:rFonts w:ascii="宋体" w:hAnsi="宋体"/>
          <w:color w:val="auto"/>
          <w:szCs w:val="21"/>
          <w:highlight w:val="none"/>
        </w:rPr>
      </w:pPr>
      <w:r>
        <w:rPr>
          <w:rFonts w:hint="eastAsia" w:ascii="宋体" w:hAnsi="宋体"/>
          <w:color w:val="auto"/>
          <w:szCs w:val="21"/>
          <w:highlight w:val="none"/>
        </w:rPr>
        <w:t>2.3.1 承包人与发包人发包专业工程承包人以及与发包人提供的材料和设备的供应</w:t>
      </w:r>
    </w:p>
    <w:p>
      <w:pPr>
        <w:spacing w:line="360" w:lineRule="auto"/>
        <w:rPr>
          <w:rFonts w:ascii="宋体" w:hAnsi="宋体"/>
          <w:color w:val="auto"/>
          <w:szCs w:val="21"/>
          <w:highlight w:val="none"/>
        </w:rPr>
      </w:pPr>
      <w:r>
        <w:rPr>
          <w:rFonts w:hint="eastAsia" w:ascii="宋体" w:hAnsi="宋体"/>
          <w:color w:val="auto"/>
          <w:szCs w:val="21"/>
          <w:highlight w:val="none"/>
        </w:rPr>
        <w:t>商之间的工作界面划分如下：</w:t>
      </w:r>
      <w:r>
        <w:rPr>
          <w:rFonts w:hint="eastAsia" w:ascii="宋体" w:hAnsi="宋体"/>
          <w:color w:val="auto"/>
          <w:szCs w:val="21"/>
          <w:highlight w:val="none"/>
          <w:u w:val="single"/>
        </w:rPr>
        <w:t xml:space="preserve"> 按发包人要求  </w:t>
      </w:r>
      <w:r>
        <w:rPr>
          <w:rFonts w:hint="eastAsia" w:ascii="宋体" w:hAnsi="宋体"/>
          <w:color w:val="auto"/>
          <w:szCs w:val="21"/>
          <w:highlight w:val="none"/>
        </w:rPr>
        <w:t>。</w:t>
      </w:r>
    </w:p>
    <w:p>
      <w:pPr>
        <w:spacing w:line="360" w:lineRule="auto"/>
        <w:ind w:left="735" w:hanging="735" w:hangingChars="350"/>
        <w:rPr>
          <w:rFonts w:ascii="宋体" w:hAnsi="宋体"/>
          <w:color w:val="auto"/>
          <w:szCs w:val="21"/>
          <w:highlight w:val="none"/>
        </w:rPr>
      </w:pPr>
      <w:r>
        <w:rPr>
          <w:rFonts w:hint="eastAsia" w:ascii="宋体" w:hAnsi="宋体"/>
          <w:color w:val="auto"/>
          <w:szCs w:val="21"/>
          <w:highlight w:val="none"/>
        </w:rPr>
        <w:t>2.4 承包人为发包人和监理人提供的现场办公条件和设施</w:t>
      </w:r>
    </w:p>
    <w:p>
      <w:pPr>
        <w:spacing w:line="360" w:lineRule="auto"/>
        <w:ind w:left="794" w:leftChars="228" w:hanging="315" w:hangingChars="150"/>
        <w:rPr>
          <w:rFonts w:ascii="宋体" w:hAnsi="宋体"/>
          <w:color w:val="auto"/>
          <w:szCs w:val="21"/>
          <w:highlight w:val="none"/>
          <w:u w:val="single"/>
        </w:rPr>
      </w:pPr>
      <w:r>
        <w:rPr>
          <w:rFonts w:hint="eastAsia" w:ascii="宋体" w:hAnsi="宋体"/>
          <w:color w:val="auto"/>
          <w:szCs w:val="21"/>
          <w:highlight w:val="none"/>
        </w:rPr>
        <w:t>2.4.1 承包人应为发包人和监理人提供的现场办公条件和设施，其详细要求如下：</w:t>
      </w:r>
    </w:p>
    <w:p>
      <w:pPr>
        <w:spacing w:line="360" w:lineRule="auto"/>
        <w:ind w:left="732" w:leftChars="171" w:hanging="373" w:hangingChars="178"/>
        <w:rPr>
          <w:rFonts w:ascii="宋体" w:hAnsi="宋体"/>
          <w:color w:val="auto"/>
          <w:szCs w:val="21"/>
          <w:highlight w:val="none"/>
        </w:rPr>
      </w:pPr>
      <w:r>
        <w:rPr>
          <w:rFonts w:hint="eastAsia" w:ascii="宋体" w:hAnsi="宋体"/>
          <w:color w:val="auto"/>
          <w:szCs w:val="21"/>
          <w:highlight w:val="none"/>
          <w:u w:val="single"/>
        </w:rPr>
        <w:t xml:space="preserve"> 按发包人和监理人指示    </w:t>
      </w:r>
      <w:r>
        <w:rPr>
          <w:rFonts w:hint="eastAsia" w:ascii="宋体" w:hAnsi="宋体"/>
          <w:color w:val="auto"/>
          <w:szCs w:val="21"/>
          <w:highlight w:val="none"/>
        </w:rPr>
        <w:t>。</w:t>
      </w:r>
    </w:p>
    <w:p>
      <w:pPr>
        <w:spacing w:line="360" w:lineRule="auto"/>
        <w:ind w:left="735" w:hanging="735" w:hangingChars="350"/>
        <w:outlineLvl w:val="2"/>
        <w:rPr>
          <w:rFonts w:ascii="宋体" w:hAnsi="宋体"/>
          <w:color w:val="auto"/>
          <w:szCs w:val="21"/>
          <w:highlight w:val="none"/>
        </w:rPr>
      </w:pPr>
      <w:bookmarkStart w:id="164" w:name="_Toc364679610"/>
      <w:bookmarkStart w:id="165" w:name="_Toc440869860"/>
      <w:bookmarkStart w:id="166" w:name="_Toc364682222"/>
      <w:bookmarkStart w:id="167" w:name="_Toc440870113"/>
      <w:r>
        <w:rPr>
          <w:rFonts w:hint="eastAsia" w:ascii="宋体" w:hAnsi="宋体"/>
          <w:color w:val="auto"/>
          <w:szCs w:val="21"/>
          <w:highlight w:val="none"/>
        </w:rPr>
        <w:t>3.工期要求</w:t>
      </w:r>
      <w:bookmarkEnd w:id="164"/>
      <w:bookmarkEnd w:id="165"/>
      <w:bookmarkEnd w:id="166"/>
      <w:bookmarkEnd w:id="167"/>
    </w:p>
    <w:p>
      <w:pPr>
        <w:spacing w:line="360" w:lineRule="auto"/>
        <w:ind w:left="735" w:hanging="735" w:hangingChars="350"/>
        <w:rPr>
          <w:rFonts w:ascii="宋体" w:hAnsi="宋体"/>
          <w:color w:val="auto"/>
          <w:szCs w:val="21"/>
          <w:highlight w:val="none"/>
        </w:rPr>
      </w:pPr>
      <w:r>
        <w:rPr>
          <w:rFonts w:hint="eastAsia" w:ascii="宋体" w:hAnsi="宋体"/>
          <w:color w:val="auto"/>
          <w:szCs w:val="21"/>
          <w:highlight w:val="none"/>
        </w:rPr>
        <w:t>3.1合同工期</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本工程合同工期和计划开、竣工日期为承包人在《报价函及报价函附录》和《上海市建设工程施工报价情况汇总表》中承诺的工期和计划开、竣工日期，并在合同协议书中载明。</w:t>
      </w:r>
    </w:p>
    <w:p>
      <w:pPr>
        <w:spacing w:line="360" w:lineRule="auto"/>
        <w:ind w:left="735" w:hanging="735" w:hangingChars="350"/>
        <w:rPr>
          <w:rFonts w:ascii="宋体" w:hAnsi="宋体"/>
          <w:color w:val="auto"/>
          <w:szCs w:val="21"/>
          <w:highlight w:val="none"/>
        </w:rPr>
      </w:pPr>
      <w:r>
        <w:rPr>
          <w:rFonts w:hint="eastAsia" w:ascii="宋体" w:hAnsi="宋体"/>
          <w:color w:val="auto"/>
          <w:szCs w:val="21"/>
          <w:highlight w:val="none"/>
        </w:rPr>
        <w:t>3.2关于工期的一般规定</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3.2.1承包人承诺的工期和计划开、竣工日期之间发生矛盾或者不一致时，以承包人承诺的工期为准。实际开工日期以约定的工程师发出的开工通知中载明的开工日期为准。</w:t>
      </w:r>
    </w:p>
    <w:p>
      <w:pPr>
        <w:spacing w:line="360" w:lineRule="auto"/>
        <w:rPr>
          <w:rFonts w:ascii="宋体" w:hAnsi="宋体"/>
          <w:color w:val="auto"/>
          <w:szCs w:val="21"/>
          <w:highlight w:val="none"/>
        </w:rPr>
      </w:pPr>
      <w:r>
        <w:rPr>
          <w:rFonts w:hint="eastAsia" w:ascii="宋体" w:hAnsi="宋体"/>
          <w:color w:val="auto"/>
          <w:szCs w:val="21"/>
          <w:highlight w:val="none"/>
        </w:rPr>
        <w:t xml:space="preserve">    3.2.2如果承包人承诺的工期提前于发包人在本工程招标文件中所要求的工期，承包人在施工组织设计中应当制定相应的工期保证措施，由此而增加的费用应当被认为已经包括在工程总报价中。除合同另有约定外，合同履约过程中发包人不会因此再向承包人支付任何性质的技术措施费用、赶工费用或其他任何性质的提前完工奖励等费用。</w:t>
      </w:r>
    </w:p>
    <w:p>
      <w:pPr>
        <w:spacing w:line="360" w:lineRule="auto"/>
        <w:ind w:firstLine="478" w:firstLineChars="228"/>
        <w:rPr>
          <w:rFonts w:ascii="宋体" w:hAnsi="宋体"/>
          <w:color w:val="auto"/>
          <w:szCs w:val="21"/>
          <w:highlight w:val="none"/>
        </w:rPr>
      </w:pPr>
      <w:r>
        <w:rPr>
          <w:rFonts w:hint="eastAsia" w:ascii="宋体" w:hAnsi="宋体"/>
          <w:color w:val="auto"/>
          <w:szCs w:val="21"/>
          <w:highlight w:val="none"/>
        </w:rPr>
        <w:t>3.2.3承包人承诺的工期应当包括实施并完成本节上述2.1.2项规定的暂估价项目和上述2.1.3项规定的实际可能发生的暂列金额在内的所有工作的工期。</w:t>
      </w:r>
    </w:p>
    <w:p>
      <w:pPr>
        <w:spacing w:line="360" w:lineRule="auto"/>
        <w:ind w:firstLine="478" w:firstLineChars="228"/>
        <w:rPr>
          <w:rFonts w:ascii="宋体" w:hAnsi="宋体"/>
          <w:color w:val="auto"/>
          <w:szCs w:val="21"/>
          <w:highlight w:val="none"/>
        </w:rPr>
      </w:pPr>
      <w:bookmarkStart w:id="168" w:name="_Toc364679611"/>
      <w:bookmarkStart w:id="169" w:name="_Toc364682223"/>
      <w:bookmarkStart w:id="170" w:name="_Toc440870114"/>
      <w:bookmarkStart w:id="171" w:name="_Toc440869861"/>
      <w:r>
        <w:rPr>
          <w:rFonts w:hint="eastAsia" w:ascii="宋体" w:hAnsi="宋体"/>
          <w:color w:val="auto"/>
          <w:szCs w:val="21"/>
          <w:highlight w:val="none"/>
        </w:rPr>
        <w:t>3.2.4工期延误的违约金标准：若因中标人原因造成总工期延误，工期违约金为每延误一天按合同总造价的万分之二执行。</w:t>
      </w:r>
    </w:p>
    <w:p>
      <w:pPr>
        <w:spacing w:line="360" w:lineRule="auto"/>
        <w:ind w:left="735" w:hanging="735" w:hangingChars="350"/>
        <w:outlineLvl w:val="2"/>
        <w:rPr>
          <w:rFonts w:ascii="宋体" w:hAnsi="宋体"/>
          <w:color w:val="auto"/>
          <w:highlight w:val="none"/>
        </w:rPr>
      </w:pPr>
      <w:bookmarkStart w:id="172" w:name="_Toc449306075"/>
      <w:r>
        <w:rPr>
          <w:rFonts w:ascii="宋体" w:hAnsi="宋体" w:cs="仿宋"/>
          <w:color w:val="auto"/>
          <w:highlight w:val="none"/>
        </w:rPr>
        <w:t>4.</w:t>
      </w:r>
      <w:r>
        <w:rPr>
          <w:rFonts w:hint="eastAsia" w:ascii="宋体" w:hAnsi="宋体" w:cs="仿宋"/>
          <w:color w:val="auto"/>
          <w:highlight w:val="none"/>
        </w:rPr>
        <w:t>质量要求</w:t>
      </w:r>
      <w:bookmarkEnd w:id="172"/>
    </w:p>
    <w:p>
      <w:pPr>
        <w:spacing w:line="360" w:lineRule="auto"/>
        <w:ind w:left="735" w:hanging="735" w:hangingChars="350"/>
        <w:rPr>
          <w:rFonts w:ascii="宋体" w:hAnsi="宋体"/>
          <w:color w:val="auto"/>
          <w:highlight w:val="none"/>
        </w:rPr>
      </w:pPr>
      <w:r>
        <w:rPr>
          <w:rFonts w:ascii="宋体" w:hAnsi="宋体" w:cs="仿宋"/>
          <w:color w:val="auto"/>
          <w:highlight w:val="none"/>
        </w:rPr>
        <w:t>4.1</w:t>
      </w:r>
      <w:r>
        <w:rPr>
          <w:rFonts w:hint="eastAsia" w:ascii="宋体" w:hAnsi="宋体" w:cs="仿宋"/>
          <w:color w:val="auto"/>
          <w:highlight w:val="none"/>
        </w:rPr>
        <w:t>质量标准</w:t>
      </w:r>
    </w:p>
    <w:p>
      <w:pPr>
        <w:spacing w:line="360" w:lineRule="auto"/>
        <w:ind w:left="1" w:firstLine="476" w:firstLineChars="227"/>
        <w:jc w:val="left"/>
        <w:rPr>
          <w:rFonts w:ascii="宋体" w:hAnsi="宋体"/>
          <w:color w:val="auto"/>
          <w:szCs w:val="21"/>
          <w:highlight w:val="none"/>
        </w:rPr>
      </w:pPr>
      <w:r>
        <w:rPr>
          <w:rFonts w:hint="eastAsia" w:ascii="宋体" w:hAnsi="宋体"/>
          <w:color w:val="auto"/>
          <w:szCs w:val="21"/>
          <w:highlight w:val="none"/>
        </w:rPr>
        <w:t>4.1.1本工程要求的质量标准为符合现行国家、本市有关工程施工验收规范和标准的要求一次验收合格率100%。</w:t>
      </w:r>
    </w:p>
    <w:p>
      <w:pPr>
        <w:spacing w:line="360" w:lineRule="auto"/>
        <w:ind w:left="1" w:firstLine="476" w:firstLineChars="227"/>
        <w:jc w:val="left"/>
        <w:rPr>
          <w:rFonts w:ascii="宋体" w:hAnsi="宋体"/>
          <w:color w:val="auto"/>
          <w:szCs w:val="21"/>
          <w:highlight w:val="none"/>
        </w:rPr>
      </w:pPr>
      <w:r>
        <w:rPr>
          <w:rFonts w:hint="eastAsia" w:ascii="宋体" w:hAnsi="宋体"/>
          <w:color w:val="auto"/>
          <w:szCs w:val="21"/>
          <w:highlight w:val="none"/>
        </w:rPr>
        <w:t>4.1.2本工程竣工时工程质量应当达到协议书约定的质量标准，质量的评定以国家或行业的质量检验评定标准为依据。因中标人原因质量达不到自报约定工程质量等级标准者，中标人承担违约责任，并按合同总造价的2％金额的幅度计算质量违约金，同时不免除承包单位对工程质量缺陷的整改的责任。给采购人造成损失的，中标人承担质量赔偿金，质量赔偿金按照给采购人造成的全部损失计算。质量违约金和赔偿金互不抵冲。投标人也可在投标文件中自报质量违约金标准，以资竞争。质量违约金在工程结算时由采购人直接在中标人应得的工程款中扣除。</w:t>
      </w:r>
    </w:p>
    <w:p>
      <w:pPr>
        <w:spacing w:line="360" w:lineRule="auto"/>
        <w:ind w:left="735" w:hanging="735" w:hangingChars="350"/>
        <w:rPr>
          <w:rFonts w:ascii="宋体" w:hAnsi="宋体"/>
          <w:color w:val="auto"/>
          <w:szCs w:val="21"/>
          <w:highlight w:val="none"/>
        </w:rPr>
      </w:pPr>
      <w:r>
        <w:rPr>
          <w:rFonts w:hint="eastAsia" w:ascii="宋体" w:hAnsi="宋体"/>
          <w:color w:val="auto"/>
          <w:szCs w:val="21"/>
          <w:highlight w:val="none"/>
        </w:rPr>
        <w:t>4.2特殊质量要求</w:t>
      </w:r>
    </w:p>
    <w:p>
      <w:pPr>
        <w:spacing w:line="360" w:lineRule="auto"/>
        <w:ind w:left="1" w:firstLine="476" w:firstLineChars="227"/>
        <w:jc w:val="left"/>
        <w:rPr>
          <w:rFonts w:ascii="宋体" w:hAnsi="宋体"/>
          <w:color w:val="auto"/>
          <w:szCs w:val="21"/>
          <w:highlight w:val="none"/>
        </w:rPr>
      </w:pPr>
      <w:r>
        <w:rPr>
          <w:rFonts w:hint="eastAsia" w:ascii="宋体" w:hAnsi="宋体"/>
          <w:color w:val="auto"/>
          <w:szCs w:val="21"/>
          <w:highlight w:val="none"/>
        </w:rPr>
        <w:t>4.2.1有关本工程质量方面的特殊要求如下：</w:t>
      </w:r>
      <w:r>
        <w:rPr>
          <w:rFonts w:hint="eastAsia" w:ascii="宋体" w:hAnsi="宋体"/>
          <w:color w:val="auto"/>
          <w:szCs w:val="21"/>
          <w:highlight w:val="none"/>
          <w:u w:val="single"/>
        </w:rPr>
        <w:t xml:space="preserve">  /   。</w:t>
      </w:r>
    </w:p>
    <w:bookmarkEnd w:id="168"/>
    <w:bookmarkEnd w:id="169"/>
    <w:bookmarkEnd w:id="170"/>
    <w:bookmarkEnd w:id="171"/>
    <w:p>
      <w:pPr>
        <w:spacing w:line="360" w:lineRule="auto"/>
        <w:ind w:left="735" w:hanging="735" w:hangingChars="350"/>
        <w:outlineLvl w:val="2"/>
        <w:rPr>
          <w:rFonts w:ascii="宋体" w:hAnsi="宋体"/>
          <w:color w:val="auto"/>
          <w:szCs w:val="21"/>
          <w:highlight w:val="none"/>
        </w:rPr>
      </w:pPr>
      <w:bookmarkStart w:id="173" w:name="_Toc364682224"/>
      <w:bookmarkStart w:id="174" w:name="_Toc364679612"/>
      <w:bookmarkStart w:id="175" w:name="_Toc440870115"/>
      <w:bookmarkStart w:id="176" w:name="_Toc440869862"/>
      <w:r>
        <w:rPr>
          <w:rFonts w:hint="eastAsia" w:ascii="宋体" w:hAnsi="宋体"/>
          <w:color w:val="auto"/>
          <w:szCs w:val="21"/>
          <w:highlight w:val="none"/>
        </w:rPr>
        <w:t>5.适用规范和标准</w:t>
      </w:r>
      <w:bookmarkEnd w:id="173"/>
      <w:bookmarkEnd w:id="174"/>
      <w:bookmarkEnd w:id="175"/>
      <w:bookmarkEnd w:id="176"/>
    </w:p>
    <w:p>
      <w:pPr>
        <w:spacing w:line="360" w:lineRule="auto"/>
        <w:ind w:left="735" w:hanging="735" w:hangingChars="350"/>
        <w:rPr>
          <w:rFonts w:ascii="宋体" w:hAnsi="宋体"/>
          <w:color w:val="auto"/>
          <w:szCs w:val="21"/>
          <w:highlight w:val="none"/>
        </w:rPr>
      </w:pPr>
      <w:r>
        <w:rPr>
          <w:rFonts w:hint="eastAsia" w:ascii="宋体" w:hAnsi="宋体"/>
          <w:color w:val="auto"/>
          <w:szCs w:val="21"/>
          <w:highlight w:val="none"/>
        </w:rPr>
        <w:t>5.1适用的规范、标准和规程</w:t>
      </w:r>
    </w:p>
    <w:p>
      <w:pPr>
        <w:spacing w:line="360" w:lineRule="auto"/>
        <w:ind w:left="1" w:firstLine="476" w:firstLineChars="227"/>
        <w:jc w:val="left"/>
        <w:rPr>
          <w:rFonts w:ascii="宋体" w:hAnsi="宋体"/>
          <w:color w:val="auto"/>
          <w:szCs w:val="21"/>
          <w:highlight w:val="none"/>
        </w:rPr>
      </w:pPr>
      <w:r>
        <w:rPr>
          <w:rFonts w:hint="eastAsia" w:ascii="宋体" w:hAnsi="宋体"/>
          <w:color w:val="auto"/>
          <w:szCs w:val="21"/>
          <w:highlight w:val="none"/>
        </w:rPr>
        <w:t>5.1.1除合同另有约定外，本工程适用现行国家、行业和本市规范、标准和规程、及各类专业标准图集，构成合同文件的任何内容与适用的规范、标准和规程之间出现矛盾，承包人应书面要求工程师予以澄清，除工程师有特别指示外，承包人应按照其中要求最严格的标准执行。</w:t>
      </w:r>
    </w:p>
    <w:p>
      <w:pPr>
        <w:spacing w:line="360" w:lineRule="auto"/>
        <w:ind w:firstLine="476" w:firstLineChars="227"/>
        <w:rPr>
          <w:rFonts w:ascii="宋体" w:hAnsi="宋体"/>
          <w:color w:val="auto"/>
          <w:szCs w:val="21"/>
          <w:highlight w:val="none"/>
        </w:rPr>
      </w:pPr>
      <w:r>
        <w:rPr>
          <w:rFonts w:hint="eastAsia" w:ascii="宋体" w:hAnsi="宋体"/>
          <w:color w:val="auto"/>
          <w:szCs w:val="21"/>
          <w:highlight w:val="none"/>
        </w:rPr>
        <w:t>5.1.2除合同另有约定外，材料、施工工艺和本工程都应依照本技术标准和要求及适用的现行规范、标准和规程的最新版本执行。若适用的现行规范、标准和规程的最新版本是在基准日后颁布的，且相应标准发生变更并成为合同文件中最严格的标准，则应按合同条款的约定办理。</w:t>
      </w:r>
    </w:p>
    <w:p>
      <w:pPr>
        <w:spacing w:line="360" w:lineRule="auto"/>
        <w:ind w:left="735" w:hanging="735" w:hangingChars="350"/>
        <w:rPr>
          <w:rFonts w:ascii="宋体" w:hAnsi="宋体"/>
          <w:color w:val="auto"/>
          <w:szCs w:val="21"/>
          <w:highlight w:val="none"/>
        </w:rPr>
      </w:pPr>
      <w:r>
        <w:rPr>
          <w:rFonts w:hint="eastAsia" w:ascii="宋体" w:hAnsi="宋体"/>
          <w:color w:val="auto"/>
          <w:szCs w:val="21"/>
          <w:highlight w:val="none"/>
        </w:rPr>
        <w:t>5.2特殊技术标准和要求</w:t>
      </w:r>
    </w:p>
    <w:p>
      <w:pPr>
        <w:spacing w:line="360" w:lineRule="auto"/>
        <w:ind w:left="794" w:leftChars="228" w:hanging="315" w:hangingChars="150"/>
        <w:rPr>
          <w:rFonts w:ascii="宋体" w:hAnsi="宋体"/>
          <w:color w:val="auto"/>
          <w:szCs w:val="21"/>
          <w:highlight w:val="none"/>
        </w:rPr>
      </w:pPr>
      <w:r>
        <w:rPr>
          <w:rFonts w:hint="eastAsia" w:ascii="宋体" w:hAnsi="宋体"/>
          <w:color w:val="auto"/>
          <w:szCs w:val="21"/>
          <w:highlight w:val="none"/>
        </w:rPr>
        <w:t>5.2.1适用本工程的特殊技术标准和要求见本章第二节。</w:t>
      </w:r>
    </w:p>
    <w:p>
      <w:pPr>
        <w:spacing w:line="360" w:lineRule="auto"/>
        <w:ind w:left="794" w:leftChars="228" w:hanging="315" w:hangingChars="150"/>
        <w:rPr>
          <w:rFonts w:ascii="宋体" w:hAnsi="宋体"/>
          <w:color w:val="auto"/>
          <w:szCs w:val="21"/>
          <w:highlight w:val="none"/>
        </w:rPr>
      </w:pPr>
      <w:r>
        <w:rPr>
          <w:rFonts w:hint="eastAsia" w:ascii="宋体" w:hAnsi="宋体"/>
          <w:color w:val="auto"/>
          <w:szCs w:val="21"/>
          <w:highlight w:val="none"/>
        </w:rPr>
        <w:t>5.2.2有合同约束力的图纸和其他设计文件中的有关文字说明是本节的组成内容。</w:t>
      </w:r>
    </w:p>
    <w:p>
      <w:pPr>
        <w:spacing w:line="360" w:lineRule="auto"/>
        <w:ind w:left="735" w:hanging="735" w:hangingChars="350"/>
        <w:outlineLvl w:val="2"/>
        <w:rPr>
          <w:rFonts w:ascii="宋体" w:hAnsi="宋体"/>
          <w:color w:val="auto"/>
          <w:szCs w:val="21"/>
          <w:highlight w:val="none"/>
        </w:rPr>
      </w:pPr>
      <w:bookmarkStart w:id="177" w:name="_Toc364679613"/>
      <w:bookmarkStart w:id="178" w:name="_Toc440870116"/>
      <w:bookmarkStart w:id="179" w:name="_Toc440869863"/>
      <w:bookmarkStart w:id="180" w:name="_Toc364682225"/>
      <w:r>
        <w:rPr>
          <w:rFonts w:hint="eastAsia" w:ascii="宋体" w:hAnsi="宋体"/>
          <w:color w:val="auto"/>
          <w:szCs w:val="21"/>
          <w:highlight w:val="none"/>
        </w:rPr>
        <w:t>6.安全文明施工</w:t>
      </w:r>
      <w:bookmarkEnd w:id="177"/>
      <w:bookmarkEnd w:id="178"/>
      <w:bookmarkEnd w:id="179"/>
      <w:bookmarkEnd w:id="180"/>
    </w:p>
    <w:p>
      <w:pPr>
        <w:spacing w:line="360" w:lineRule="auto"/>
        <w:ind w:left="735" w:hanging="735" w:hangingChars="350"/>
        <w:rPr>
          <w:rFonts w:ascii="宋体" w:hAnsi="宋体"/>
          <w:color w:val="auto"/>
          <w:szCs w:val="21"/>
          <w:highlight w:val="none"/>
        </w:rPr>
      </w:pPr>
      <w:r>
        <w:rPr>
          <w:rFonts w:hint="eastAsia" w:ascii="宋体" w:hAnsi="宋体"/>
          <w:color w:val="auto"/>
          <w:szCs w:val="21"/>
          <w:highlight w:val="none"/>
        </w:rPr>
        <w:t>6.1安全防护</w:t>
      </w:r>
    </w:p>
    <w:p>
      <w:pPr>
        <w:spacing w:line="360" w:lineRule="auto"/>
        <w:ind w:firstLine="478" w:firstLineChars="228"/>
        <w:rPr>
          <w:rFonts w:ascii="宋体" w:hAnsi="宋体"/>
          <w:color w:val="auto"/>
          <w:szCs w:val="21"/>
          <w:highlight w:val="none"/>
        </w:rPr>
      </w:pPr>
      <w:r>
        <w:rPr>
          <w:rFonts w:hint="eastAsia" w:ascii="宋体" w:hAnsi="宋体"/>
          <w:color w:val="auto"/>
          <w:szCs w:val="21"/>
          <w:highlight w:val="none"/>
        </w:rPr>
        <w:t>6.1.1在工程施工、竣工、交付及修补任何缺陷的过程中，承包人应当始终遵守国家和上海市有关安全生产的法律、法规、规范、标准和规程等，按照合同条款的约定履行其安全施工职责。</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6.1.2承包人应坚持“安全第一，预防为主”的方针，建立、健全安全生产责任制度和安全生产教育培训制度。在整个工程施工期间，承包人应在现场设立、提供和维护并在有关工作完成或竣工后撤除：</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（1）设立在现场入口显著位置的现场施工总平面图、总平面管理、安全生产、文明施工、环境保护、质量控制、材料管理等的规章制度和主要参建单位名称和工程概况等说明的图板；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（2）为确保工程安全施工须设立的足够的标志、宣传画、标语、指示牌、警告牌、火警、匪警和急救电话提示牌等；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（3）洞口和临边位置的安全防护设施，包括护身栏杆、脚手架、洞口盖板和加筋、竖井防护栏杆、防护棚、防护网、坡道等；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（4）安全带、安全绳、安全帽、安全网、绝缘鞋、绝缘手套、防护口罩和防护衣等安全生产用品；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（5）所有机械设备包括各类电动工具的安全保护和接地装置和操作说明；</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（6）装备良好的临时急救站和配备称职的医护人员；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（7）主要作业场所和临时安全疏散通道24小时36伏安全照明和必要的警示等以防止各种可能的事故；</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（8）足够数量的和合格的手提灭火器；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（9）装备良好的易燃易爆物品仓库和相应的使用管理制度；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（10）对涉及明火施工的工作制定诸如用火证等的管理制度；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（11）其他：</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79"/>
        <w:rPr>
          <w:rFonts w:ascii="宋体" w:hAnsi="宋体"/>
          <w:color w:val="auto"/>
          <w:szCs w:val="21"/>
          <w:highlight w:val="none"/>
        </w:rPr>
      </w:pPr>
      <w:r>
        <w:rPr>
          <w:rFonts w:hint="eastAsia" w:ascii="宋体" w:hAnsi="宋体"/>
          <w:color w:val="auto"/>
          <w:szCs w:val="21"/>
          <w:highlight w:val="none"/>
        </w:rPr>
        <w:t>6.1.3 安全文明施工费用必须专款专用，承包人应对其由于安全文明施工费用和施工安全措施不到位而发生的安全事故承担全部责任。</w:t>
      </w:r>
    </w:p>
    <w:p>
      <w:pPr>
        <w:spacing w:line="360" w:lineRule="auto"/>
        <w:ind w:firstLine="476" w:firstLineChars="227"/>
        <w:rPr>
          <w:rFonts w:ascii="宋体" w:hAnsi="宋体"/>
          <w:color w:val="auto"/>
          <w:szCs w:val="21"/>
          <w:highlight w:val="none"/>
        </w:rPr>
      </w:pPr>
      <w:r>
        <w:rPr>
          <w:rFonts w:hint="eastAsia" w:ascii="宋体" w:hAnsi="宋体"/>
          <w:color w:val="auto"/>
          <w:szCs w:val="21"/>
          <w:highlight w:val="none"/>
        </w:rPr>
        <w:t>6.1.4 承包人应建立专门的现场安全生产管理机构，配备足够数量的和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和专职安全生产管理人员均应当具备有效的安全生产考核合格证书。</w:t>
      </w:r>
    </w:p>
    <w:p>
      <w:pPr>
        <w:spacing w:line="360" w:lineRule="auto"/>
        <w:ind w:firstLine="476" w:firstLineChars="227"/>
        <w:rPr>
          <w:rFonts w:ascii="宋体" w:hAnsi="宋体"/>
          <w:color w:val="auto"/>
          <w:szCs w:val="21"/>
          <w:highlight w:val="none"/>
        </w:rPr>
      </w:pPr>
      <w:r>
        <w:rPr>
          <w:rFonts w:hint="eastAsia" w:ascii="宋体" w:hAnsi="宋体"/>
          <w:color w:val="auto"/>
          <w:szCs w:val="21"/>
          <w:highlight w:val="none"/>
        </w:rPr>
        <w:t>6.1.5承包人应遵照有关法规要求，编印安全防护手册发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p>
    <w:p>
      <w:pPr>
        <w:spacing w:line="360" w:lineRule="auto"/>
        <w:ind w:firstLine="478" w:firstLineChars="228"/>
        <w:rPr>
          <w:rFonts w:ascii="宋体" w:hAnsi="宋体"/>
          <w:color w:val="auto"/>
          <w:szCs w:val="21"/>
          <w:highlight w:val="none"/>
        </w:rPr>
      </w:pPr>
      <w:r>
        <w:rPr>
          <w:rFonts w:hint="eastAsia" w:ascii="宋体" w:hAnsi="宋体"/>
          <w:color w:val="auto"/>
          <w:szCs w:val="21"/>
          <w:highlight w:val="none"/>
        </w:rPr>
        <w:t>6.1.6 承包人应为其进场施工人员配备必需的安全防护设施和设备，承包人还应为现场邻近地区的所有者和占有者、公众和其他人员，提供一切必要的临时道路、人行道、防护棚、围栏及警告等，以确保财产和人身安全以及最大程度地降低施工可能造成的不便。</w:t>
      </w:r>
    </w:p>
    <w:p>
      <w:pPr>
        <w:spacing w:line="360" w:lineRule="auto"/>
        <w:ind w:firstLine="478" w:firstLineChars="228"/>
        <w:rPr>
          <w:rFonts w:ascii="宋体" w:hAnsi="宋体"/>
          <w:color w:val="auto"/>
          <w:szCs w:val="21"/>
          <w:highlight w:val="none"/>
        </w:rPr>
      </w:pPr>
      <w:r>
        <w:rPr>
          <w:rFonts w:hint="eastAsia" w:ascii="宋体" w:hAnsi="宋体"/>
          <w:color w:val="auto"/>
          <w:szCs w:val="21"/>
          <w:highlight w:val="none"/>
        </w:rPr>
        <w:t>6.1.7 承包人应在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警告标志等，并配备必要的照明、防护和看守。承包人应当按工程师的指示，经常补充或更换失效的警示和标志。</w:t>
      </w:r>
    </w:p>
    <w:p>
      <w:pPr>
        <w:spacing w:line="360" w:lineRule="auto"/>
        <w:ind w:firstLine="478" w:firstLineChars="228"/>
        <w:rPr>
          <w:rFonts w:ascii="宋体" w:hAnsi="宋体"/>
          <w:color w:val="auto"/>
          <w:szCs w:val="21"/>
          <w:highlight w:val="none"/>
        </w:rPr>
      </w:pPr>
      <w:r>
        <w:rPr>
          <w:rFonts w:hint="eastAsia" w:ascii="宋体" w:hAnsi="宋体"/>
          <w:color w:val="auto"/>
          <w:szCs w:val="21"/>
          <w:highlight w:val="none"/>
        </w:rPr>
        <w:t>6.1.8 承包人应对现场内由其提供并安装的所有提升架、外用电梯和塔吊等垂直和水平运输机械进行安全围护，包括卸料平台门的安全开关、警示铃和警示灯，卸料平台的护身栏杆，脚手架和安全网等；所有的机械设备应设置安全操作防护罩，并在醒目位置张挂详细的安全操作要点等。</w:t>
      </w:r>
    </w:p>
    <w:p>
      <w:pPr>
        <w:spacing w:line="360" w:lineRule="auto"/>
        <w:ind w:firstLine="478" w:firstLineChars="228"/>
        <w:rPr>
          <w:rFonts w:ascii="宋体" w:hAnsi="宋体"/>
          <w:color w:val="auto"/>
          <w:szCs w:val="21"/>
          <w:highlight w:val="none"/>
        </w:rPr>
      </w:pPr>
      <w:r>
        <w:rPr>
          <w:rFonts w:hint="eastAsia" w:ascii="宋体" w:hAnsi="宋体"/>
          <w:color w:val="auto"/>
          <w:szCs w:val="21"/>
          <w:highlight w:val="none"/>
        </w:rPr>
        <w:t>6.1.9 承包人应对所有用于提升的挂钩、挂环、钢丝绳、铁扁担等进行定期检测、检查和标定；如果工程师认为，任何此类设施已经损坏或有使用不当之处，承包人应立即以合格的产品进行更换或纠正当之处；所有垂直和水平运输机械的搭设、顶升、使用和拆除必须严格依照现行有关法规、规章、规范、标准和规程等的要求。</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6.1.10 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pPr>
        <w:spacing w:line="360" w:lineRule="auto"/>
        <w:ind w:firstLine="478" w:firstLineChars="228"/>
        <w:rPr>
          <w:rFonts w:ascii="宋体" w:hAnsi="宋体"/>
          <w:color w:val="auto"/>
          <w:szCs w:val="21"/>
          <w:highlight w:val="none"/>
        </w:rPr>
      </w:pPr>
      <w:r>
        <w:rPr>
          <w:rFonts w:hint="eastAsia" w:ascii="宋体" w:hAnsi="宋体"/>
          <w:color w:val="auto"/>
          <w:szCs w:val="21"/>
          <w:highlight w:val="none"/>
        </w:rPr>
        <w:t>6.1.11在永久工程和施工边坡、建筑物基坑、地下洞室等的开挖过程中，应根据其施工安全的需要和(或)工程师指示，安装必要的施工安全监测仪器，及时进行必要的施工安全监测，并定期将安全监测成果提交工程师，以防止引起可能导致安全事故或影响正常施工进度的沉降、变形或其他损害。</w:t>
      </w:r>
    </w:p>
    <w:p>
      <w:pPr>
        <w:spacing w:line="360" w:lineRule="auto"/>
        <w:ind w:firstLine="478" w:firstLineChars="228"/>
        <w:rPr>
          <w:rFonts w:ascii="宋体" w:hAnsi="宋体"/>
          <w:color w:val="auto"/>
          <w:szCs w:val="21"/>
          <w:highlight w:val="none"/>
        </w:rPr>
      </w:pPr>
      <w:r>
        <w:rPr>
          <w:rFonts w:hint="eastAsia" w:ascii="宋体" w:hAnsi="宋体"/>
          <w:color w:val="auto"/>
          <w:szCs w:val="21"/>
          <w:highlight w:val="none"/>
        </w:rPr>
        <w:t>6.1.12承包人应对任何施工中的永久工程进行必要的支撑或临时加固。除非承包人已获得工程师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6.1.13 承包人应成立应急救援小组，配备必要的应急救援器材和设备，制定灾害和生产安全事故的应急救援预案，并将应急救援预案报送工程师。应急救援预案应能随时组织应救专职人员、并定期组织演练。</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6.1.14 施工过程中需要使用爆破或带炸药的工具等危险性施工方法时，承包人应提前通知工程师。经工程师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法。</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6.1.15当基坑支护与降水工程、土方开挖工程、模板工程、起重吊装工程、脚手架工程、拆除工程和爆破工程等达到一定规模时，在实施这些工程和其他危险性较大的分部分项工程之前，承包人应当编制专项施工方案，其中深基坑、地下暗挖和高大模板工程的专项施工方案，还应组织专家进行论证和审查。</w:t>
      </w:r>
    </w:p>
    <w:p>
      <w:pPr>
        <w:spacing w:line="360" w:lineRule="auto"/>
        <w:ind w:firstLine="411" w:firstLineChars="196"/>
        <w:rPr>
          <w:rFonts w:ascii="宋体" w:hAnsi="宋体"/>
          <w:color w:val="auto"/>
          <w:szCs w:val="21"/>
          <w:highlight w:val="none"/>
        </w:rPr>
      </w:pPr>
      <w:r>
        <w:rPr>
          <w:rFonts w:hint="eastAsia" w:ascii="宋体" w:hAnsi="宋体"/>
          <w:vanish/>
          <w:color w:val="auto"/>
          <w:szCs w:val="21"/>
          <w:highlight w:val="none"/>
        </w:rPr>
        <w:cr/>
      </w:r>
      <w:r>
        <w:rPr>
          <w:rFonts w:hint="eastAsia" w:ascii="宋体" w:hAnsi="宋体"/>
          <w:color w:val="auto"/>
          <w:szCs w:val="21"/>
          <w:highlight w:val="none"/>
        </w:rPr>
        <w:t>6.1.16承包人应按照合同约定的条款处理本工程施工过程中发生的事故。发生施工安全事故后，承包人必须立即报告工程师和发包人，并在事故发生后一小时内向发包人提交事故情况书面报告，并根据《生产安全事故报告和调查处理条例》的规定，及时向本市工程所在地县级以上地方人民政府安全生产监督管理部门和建设行政主管部门报告。情况紧急时，事故现场有关人员可以直接向本市工程所在地县级以上地方人民政府安全生产监督管理部门和建设行政主管部门报告。</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6.1.17承包人还应根据有关法律、法规、规定和条例等的要求，制定一套安全生产应急措施和程序，保证一旦出现任何安全事故，能立即保护好现场，抢救伤员和财产，保证施工生产的正常进行，防止损失扩大。</w:t>
      </w:r>
    </w:p>
    <w:p>
      <w:pPr>
        <w:spacing w:line="360" w:lineRule="auto"/>
        <w:ind w:left="1004" w:leftChars="228" w:hanging="525" w:hangingChars="250"/>
        <w:rPr>
          <w:rFonts w:ascii="宋体" w:hAnsi="宋体"/>
          <w:color w:val="auto"/>
          <w:szCs w:val="21"/>
          <w:highlight w:val="none"/>
        </w:rPr>
      </w:pPr>
      <w:r>
        <w:rPr>
          <w:rFonts w:hint="eastAsia" w:ascii="宋体" w:hAnsi="宋体"/>
          <w:color w:val="auto"/>
          <w:szCs w:val="21"/>
          <w:highlight w:val="none"/>
        </w:rPr>
        <w:t>6.1.18安全防护方面的其他要求如下：</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before="72" w:beforeLines="30" w:after="72" w:afterLines="30" w:line="360" w:lineRule="auto"/>
        <w:ind w:left="945" w:hanging="945" w:hangingChars="450"/>
        <w:rPr>
          <w:rFonts w:ascii="宋体" w:hAnsi="宋体"/>
          <w:color w:val="auto"/>
          <w:szCs w:val="21"/>
          <w:highlight w:val="none"/>
        </w:rPr>
      </w:pPr>
      <w:r>
        <w:rPr>
          <w:rFonts w:hint="eastAsia" w:ascii="宋体" w:hAnsi="宋体"/>
          <w:color w:val="auto"/>
          <w:szCs w:val="21"/>
          <w:highlight w:val="none"/>
        </w:rPr>
        <w:t>6.2临时消防</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6.2.1 承包人应建立消防安全责任制度，制定用火、用电和使用易燃易爆等危险品的消防安全管理制度和操作规程。各项制度和规程等应满足相关法律法规和政府消防管理部门的要求。</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6.2.2 承包人应根据相关法律法规和消防管理部门的要求，为施工中的永久工程和所有临时工程提供必要的临时消防和紧急疏散设施，包括提供并维持畅通的消防通道、临时消火栓、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工程师和消防管理部门的审批和验收；承包人还应自费获得消防管理部门的临时消防证书。所有的临时消防设施属于承包人所有，至工程实际竣工时且永久性消防系统投入使用后从现场拆除。</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6.2.3 承包人应当成立由项目主要负责人担任组长的临时消防组或消防队，宣传消防基本知识和进行消防基本操作培训，组织消防演练，保证一旦发生火灾，能够组织有效的自救，保护生命和财产安全。</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6.2.4 现场内的易燃、易爆物品应单独和安全地存放，设专人进行存放和领用管理。现场储有或正在使用易燃、易爆或可燃材料时或要进行有明火施工的工序时，应当实行严格的“用火证”管理制度。</w:t>
      </w:r>
    </w:p>
    <w:p>
      <w:pPr>
        <w:spacing w:line="360" w:lineRule="auto"/>
        <w:ind w:left="1004" w:leftChars="228" w:hanging="525" w:hangingChars="250"/>
        <w:rPr>
          <w:rFonts w:ascii="宋体" w:hAnsi="宋体"/>
          <w:color w:val="auto"/>
          <w:szCs w:val="21"/>
          <w:highlight w:val="none"/>
        </w:rPr>
      </w:pPr>
      <w:r>
        <w:rPr>
          <w:rFonts w:hint="eastAsia" w:ascii="宋体" w:hAnsi="宋体"/>
          <w:color w:val="auto"/>
          <w:szCs w:val="21"/>
          <w:highlight w:val="none"/>
        </w:rPr>
        <w:t>6.2.5 临时消防方面的其他要求如下：</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before="72" w:beforeLines="30" w:after="72" w:afterLines="30" w:line="360" w:lineRule="auto"/>
        <w:ind w:left="945" w:hanging="945" w:hangingChars="450"/>
        <w:rPr>
          <w:rFonts w:ascii="宋体" w:hAnsi="宋体"/>
          <w:color w:val="auto"/>
          <w:szCs w:val="21"/>
          <w:highlight w:val="none"/>
        </w:rPr>
      </w:pPr>
      <w:r>
        <w:rPr>
          <w:rFonts w:hint="eastAsia" w:ascii="宋体" w:hAnsi="宋体"/>
          <w:color w:val="auto"/>
          <w:szCs w:val="21"/>
          <w:highlight w:val="none"/>
        </w:rPr>
        <w:t>6.3 临时供电</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6.3.1承包人应当根据《施工现场临时用电安全技术规范》(JGJ 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6.3.2 承包人应为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6.3.3 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沿地面明设，并应避免机械损伤和介质腐蚀。埋地电缆路径应设方位标志。各种配电设备均设有防止漏电和防雨防水设施。</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6.3.4 承包人应在施工作业区、施工道路、临时设施、办公区和生活区设置足够的照明，地下工程照明系统的电压不得高于36V，在潮湿和易触及带电体场所的照明供电电压不应大于24V。不便于使用电器照明的工作面应采用特殊照明设施。</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6.3.5 凡可能漏电伤人或易受雷击的电器及建筑物均应设置接地和避雷装置。承包人应负责避雷装置的采购、安装、管理和维修，并建立定期检查制度。</w:t>
      </w:r>
    </w:p>
    <w:p>
      <w:pPr>
        <w:spacing w:line="360" w:lineRule="auto"/>
        <w:ind w:left="1004" w:leftChars="228" w:hanging="525" w:hangingChars="250"/>
        <w:rPr>
          <w:rFonts w:ascii="宋体" w:hAnsi="宋体"/>
          <w:color w:val="auto"/>
          <w:szCs w:val="21"/>
          <w:highlight w:val="none"/>
        </w:rPr>
      </w:pPr>
      <w:r>
        <w:rPr>
          <w:rFonts w:hint="eastAsia" w:ascii="宋体" w:hAnsi="宋体"/>
          <w:color w:val="auto"/>
          <w:szCs w:val="21"/>
          <w:highlight w:val="none"/>
        </w:rPr>
        <w:t>6.3.6 临时用电方面的其他要求如下：</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left="945" w:hanging="945" w:hangingChars="450"/>
        <w:rPr>
          <w:rFonts w:ascii="宋体" w:hAnsi="宋体"/>
          <w:color w:val="auto"/>
          <w:szCs w:val="21"/>
          <w:highlight w:val="none"/>
        </w:rPr>
      </w:pPr>
      <w:r>
        <w:rPr>
          <w:rFonts w:hint="eastAsia" w:ascii="宋体" w:hAnsi="宋体"/>
          <w:color w:val="auto"/>
          <w:szCs w:val="21"/>
          <w:highlight w:val="none"/>
        </w:rPr>
        <w:t>6.4 劳动保护</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6.4.1 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6.4.2 承包人应按照国家《中华人民共和国劳动保护法》的规定，保障现场施工人员的劳动安全。承包人应为本合同下雇佣的职员和工人提供适当和充分的劳动保护，包括但不限于安全防护、防寒、防雨、防尘、绝缘保护、常用药品、急救设备、传染病预防等。</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6.4.3 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6.4.4 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6.4.5承包人应在现场设立专门的临时医疗站，配备足够的设施、药物和称职的医务人员，承包人还应准备急救担架，用于一旦发生安全事故时对受伤人员的急救。</w:t>
      </w:r>
    </w:p>
    <w:p>
      <w:pPr>
        <w:spacing w:line="360" w:lineRule="auto"/>
        <w:ind w:left="1004" w:leftChars="228" w:hanging="525" w:hangingChars="250"/>
        <w:rPr>
          <w:rFonts w:ascii="宋体" w:hAnsi="宋体"/>
          <w:color w:val="auto"/>
          <w:szCs w:val="21"/>
          <w:highlight w:val="none"/>
        </w:rPr>
      </w:pPr>
      <w:r>
        <w:rPr>
          <w:rFonts w:hint="eastAsia" w:ascii="宋体" w:hAnsi="宋体"/>
          <w:color w:val="auto"/>
          <w:szCs w:val="21"/>
          <w:highlight w:val="none"/>
        </w:rPr>
        <w:t>6.4.6 劳动保护方面的其他要求如下：</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left="945" w:hanging="945" w:hangingChars="450"/>
        <w:rPr>
          <w:rFonts w:ascii="宋体" w:hAnsi="宋体"/>
          <w:color w:val="auto"/>
          <w:szCs w:val="21"/>
          <w:highlight w:val="none"/>
        </w:rPr>
      </w:pPr>
      <w:r>
        <w:rPr>
          <w:rFonts w:hint="eastAsia" w:ascii="宋体" w:hAnsi="宋体"/>
          <w:color w:val="auto"/>
          <w:szCs w:val="21"/>
          <w:highlight w:val="none"/>
        </w:rPr>
        <w:t>6.5 脚手架</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6.5.1 承包人应搭设并维护一切必要的临时脚手架、挑平台并配以脚手板、安全网、护身栏杆、门架、马道、坡道、爬梯等。脚手架和挑平台的搭设应满足有关安全生产的法律、法规、规范、标准和规程等的要求。新搭设的脚手架投入使用前，承包人必须组织安全检查和验收，并对使用脚手架的作业人员进行安全交底。</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6.5.2 所有脚手架，尤其是大型、复杂、高耸和非常规脚手架，要编制专项施工方案，还应当经过安全验算，脚手架安全验算结果必须报送工程师核查后方可实施。</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6.5.3 搭设爬架、挂架、超高脚手架等特种或新型脚手架时，承包人应确保此类脚手架的安全性和保证此类脚手架已经过有关行政管理部门允许使用的批准，并承担与此有关的一切费用。</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6.5.4 承包人应当加强脚手架的日常安全巡查，及时对其中的安全隐患进行整改，确保脚手架使用安全。雨、雪、雾、霜和大风等天气后，承包人必须对脚手架进行安全巡查，并及时消除安全隐患。</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6.5.5 承包人应允许发包人、监理人、专业分包人、独立承包人(如果有)和有关行政管理部门或者机构免费使用承包人在现场搭设的任何已有脚手架，并就其安全使用做必要交底说明。承包人在拆除任何脚手架前，应书面请示工程师他将要拆除的脚手架是否为发包人、监理人、专业分包人、独立承包人(如果有)和政府有关机构所需，只有在获得工程师书面批准后，承包人才能拆除相关脚手架，否则承包人应自费重新搭设。</w:t>
      </w:r>
    </w:p>
    <w:p>
      <w:pPr>
        <w:spacing w:line="360" w:lineRule="auto"/>
        <w:ind w:left="1004" w:leftChars="228" w:hanging="525" w:hangingChars="250"/>
        <w:rPr>
          <w:rFonts w:ascii="宋体" w:hAnsi="宋体"/>
          <w:color w:val="auto"/>
          <w:szCs w:val="21"/>
          <w:highlight w:val="none"/>
        </w:rPr>
      </w:pPr>
      <w:r>
        <w:rPr>
          <w:rFonts w:hint="eastAsia" w:ascii="宋体" w:hAnsi="宋体"/>
          <w:color w:val="auto"/>
          <w:szCs w:val="21"/>
          <w:highlight w:val="none"/>
        </w:rPr>
        <w:t>6.5.6 脚手架的其他要求如下：</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before="48" w:beforeLines="20" w:after="48" w:afterLines="20" w:line="360" w:lineRule="auto"/>
        <w:ind w:left="945" w:hanging="945" w:hangingChars="450"/>
        <w:rPr>
          <w:rFonts w:ascii="宋体" w:hAnsi="宋体"/>
          <w:color w:val="auto"/>
          <w:szCs w:val="21"/>
          <w:highlight w:val="none"/>
        </w:rPr>
      </w:pPr>
      <w:r>
        <w:rPr>
          <w:rFonts w:hint="eastAsia" w:ascii="宋体" w:hAnsi="宋体"/>
          <w:color w:val="auto"/>
          <w:szCs w:val="21"/>
          <w:highlight w:val="none"/>
        </w:rPr>
        <w:t>6.6施工安全措施计划</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6.6.1 承包人应根据《中华人民共和国安全生产法》、《中华人民共和国消防法》、《中华人民共和国道路交通安全法》、《中华人民共和国传染病防治法实施办法》、《职业健康安全管理体系规范》（GB/T 28000）和地方有关的法规等，编制一份施工安全措施计划，报送工程师审批。</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6.6.2 施工安全措施计划是承包人阐明其安全管理方针、管理体系、安全制度和安全措施等的文件，其内容应当反映现行法律法规规定的和合同条款约定的以及本条上述约定的承包人安全职责，包括但不限于：</w:t>
      </w:r>
    </w:p>
    <w:p>
      <w:pPr>
        <w:spacing w:line="360" w:lineRule="auto"/>
        <w:ind w:left="945" w:leftChars="200" w:hanging="525" w:hangingChars="250"/>
        <w:rPr>
          <w:rFonts w:ascii="宋体" w:hAnsi="宋体"/>
          <w:color w:val="auto"/>
          <w:szCs w:val="21"/>
          <w:highlight w:val="none"/>
        </w:rPr>
      </w:pPr>
      <w:r>
        <w:rPr>
          <w:rFonts w:hint="eastAsia" w:ascii="宋体" w:hAnsi="宋体"/>
          <w:color w:val="auto"/>
          <w:szCs w:val="21"/>
          <w:highlight w:val="none"/>
        </w:rPr>
        <w:t>(1)施工安全管理机构的设置；</w:t>
      </w:r>
    </w:p>
    <w:p>
      <w:pPr>
        <w:spacing w:line="360" w:lineRule="auto"/>
        <w:ind w:left="945" w:leftChars="200" w:hanging="525" w:hangingChars="250"/>
        <w:rPr>
          <w:rFonts w:ascii="宋体" w:hAnsi="宋体"/>
          <w:color w:val="auto"/>
          <w:szCs w:val="21"/>
          <w:highlight w:val="none"/>
        </w:rPr>
      </w:pPr>
      <w:r>
        <w:rPr>
          <w:rFonts w:hint="eastAsia" w:ascii="宋体" w:hAnsi="宋体"/>
          <w:color w:val="auto"/>
          <w:szCs w:val="21"/>
          <w:highlight w:val="none"/>
        </w:rPr>
        <w:t>(2)专职安全管理人员的配备；</w:t>
      </w:r>
    </w:p>
    <w:p>
      <w:pPr>
        <w:spacing w:line="360" w:lineRule="auto"/>
        <w:ind w:left="945" w:leftChars="200" w:hanging="525" w:hangingChars="250"/>
        <w:rPr>
          <w:rFonts w:ascii="宋体" w:hAnsi="宋体"/>
          <w:color w:val="auto"/>
          <w:szCs w:val="21"/>
          <w:highlight w:val="none"/>
        </w:rPr>
      </w:pPr>
      <w:r>
        <w:rPr>
          <w:rFonts w:hint="eastAsia" w:ascii="宋体" w:hAnsi="宋体"/>
          <w:color w:val="auto"/>
          <w:szCs w:val="21"/>
          <w:highlight w:val="none"/>
        </w:rPr>
        <w:t>(3)安全责任制度和管理措施；</w:t>
      </w:r>
    </w:p>
    <w:p>
      <w:pPr>
        <w:spacing w:line="360" w:lineRule="auto"/>
        <w:ind w:left="945" w:leftChars="200" w:hanging="525" w:hangingChars="250"/>
        <w:rPr>
          <w:rFonts w:ascii="宋体" w:hAnsi="宋体"/>
          <w:color w:val="auto"/>
          <w:szCs w:val="21"/>
          <w:highlight w:val="none"/>
        </w:rPr>
      </w:pPr>
      <w:r>
        <w:rPr>
          <w:rFonts w:hint="eastAsia" w:ascii="宋体" w:hAnsi="宋体"/>
          <w:color w:val="auto"/>
          <w:szCs w:val="21"/>
          <w:highlight w:val="none"/>
        </w:rPr>
        <w:t>(4)安全教育和培训制度及管理措施；</w:t>
      </w:r>
    </w:p>
    <w:p>
      <w:pPr>
        <w:spacing w:line="360" w:lineRule="auto"/>
        <w:ind w:left="945" w:leftChars="200" w:hanging="525" w:hangingChars="250"/>
        <w:rPr>
          <w:rFonts w:ascii="宋体" w:hAnsi="宋体"/>
          <w:color w:val="auto"/>
          <w:szCs w:val="21"/>
          <w:highlight w:val="none"/>
        </w:rPr>
      </w:pPr>
      <w:r>
        <w:rPr>
          <w:rFonts w:hint="eastAsia" w:ascii="宋体" w:hAnsi="宋体"/>
          <w:color w:val="auto"/>
          <w:szCs w:val="21"/>
          <w:highlight w:val="none"/>
        </w:rPr>
        <w:t>(5)各项安全生产规章制度和操作规程；</w:t>
      </w:r>
    </w:p>
    <w:p>
      <w:pPr>
        <w:spacing w:line="360" w:lineRule="auto"/>
        <w:ind w:left="945" w:leftChars="200" w:hanging="525" w:hangingChars="250"/>
        <w:rPr>
          <w:rFonts w:ascii="宋体" w:hAnsi="宋体"/>
          <w:color w:val="auto"/>
          <w:szCs w:val="21"/>
          <w:highlight w:val="none"/>
        </w:rPr>
      </w:pPr>
      <w:r>
        <w:rPr>
          <w:rFonts w:hint="eastAsia" w:ascii="宋体" w:hAnsi="宋体"/>
          <w:color w:val="auto"/>
          <w:szCs w:val="21"/>
          <w:highlight w:val="none"/>
        </w:rPr>
        <w:t>(6)各项施工安全措施和防护措施；</w:t>
      </w:r>
    </w:p>
    <w:p>
      <w:pPr>
        <w:spacing w:line="360" w:lineRule="auto"/>
        <w:ind w:left="945" w:leftChars="200" w:hanging="525" w:hangingChars="250"/>
        <w:rPr>
          <w:rFonts w:ascii="宋体" w:hAnsi="宋体"/>
          <w:color w:val="auto"/>
          <w:szCs w:val="21"/>
          <w:highlight w:val="none"/>
        </w:rPr>
      </w:pPr>
      <w:r>
        <w:rPr>
          <w:rFonts w:hint="eastAsia" w:ascii="宋体" w:hAnsi="宋体"/>
          <w:color w:val="auto"/>
          <w:szCs w:val="21"/>
          <w:highlight w:val="none"/>
        </w:rPr>
        <w:t>(7)危险品管理和使用制度；</w:t>
      </w:r>
    </w:p>
    <w:p>
      <w:pPr>
        <w:spacing w:line="360" w:lineRule="auto"/>
        <w:ind w:left="945" w:leftChars="200" w:hanging="525" w:hangingChars="250"/>
        <w:rPr>
          <w:rFonts w:ascii="宋体" w:hAnsi="宋体"/>
          <w:color w:val="auto"/>
          <w:szCs w:val="21"/>
          <w:highlight w:val="none"/>
        </w:rPr>
      </w:pPr>
      <w:r>
        <w:rPr>
          <w:rFonts w:hint="eastAsia" w:ascii="宋体" w:hAnsi="宋体"/>
          <w:color w:val="auto"/>
          <w:szCs w:val="21"/>
          <w:highlight w:val="none"/>
        </w:rPr>
        <w:t>(8)安全设施、设备、器材和劳动保护用品的配置；</w:t>
      </w:r>
    </w:p>
    <w:p>
      <w:pPr>
        <w:spacing w:line="360" w:lineRule="auto"/>
        <w:ind w:left="945" w:leftChars="200" w:hanging="525" w:hangingChars="250"/>
        <w:rPr>
          <w:rFonts w:ascii="宋体" w:hAnsi="宋体"/>
          <w:color w:val="auto"/>
          <w:szCs w:val="21"/>
          <w:highlight w:val="none"/>
        </w:rPr>
      </w:pPr>
      <w:r>
        <w:rPr>
          <w:rFonts w:hint="eastAsia" w:ascii="宋体" w:hAnsi="宋体"/>
          <w:color w:val="auto"/>
          <w:szCs w:val="21"/>
          <w:highlight w:val="none"/>
        </w:rPr>
        <w:t>(9)其他：</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施工安全措施的项目和范围，应符合国家颁发的《安全技术措施计划的项目总名称表》及其附录H、I、J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6.6.3 施工安全措施计划应当报送工程师。承包人应当严格执行经工程师批准的施工安全措施计划，并及时补充、修订和完善施工安全措施计划，确保安全生产。</w:t>
      </w:r>
    </w:p>
    <w:p>
      <w:pPr>
        <w:spacing w:before="48" w:beforeLines="20" w:after="48" w:afterLines="20" w:line="360" w:lineRule="auto"/>
        <w:ind w:left="945" w:hanging="945" w:hangingChars="450"/>
        <w:rPr>
          <w:rFonts w:ascii="宋体" w:hAnsi="宋体"/>
          <w:color w:val="auto"/>
          <w:szCs w:val="21"/>
          <w:highlight w:val="none"/>
        </w:rPr>
      </w:pPr>
      <w:r>
        <w:rPr>
          <w:rFonts w:hint="eastAsia" w:ascii="宋体" w:hAnsi="宋体"/>
          <w:color w:val="auto"/>
          <w:szCs w:val="21"/>
          <w:highlight w:val="none"/>
        </w:rPr>
        <w:t>6.7文明施工</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6.7.1承包人应遵守国家和工程所在地有关法规、规范、规程和标准的规定，履行文明施工义务，确保文明施工专项费用专款专用。</w:t>
      </w:r>
    </w:p>
    <w:p>
      <w:pPr>
        <w:spacing w:line="360" w:lineRule="auto"/>
        <w:ind w:left="1004" w:leftChars="228" w:hanging="525" w:hangingChars="250"/>
        <w:rPr>
          <w:rFonts w:ascii="宋体" w:hAnsi="宋体"/>
          <w:color w:val="auto"/>
          <w:szCs w:val="21"/>
          <w:highlight w:val="none"/>
        </w:rPr>
      </w:pPr>
      <w:r>
        <w:rPr>
          <w:rFonts w:hint="eastAsia" w:ascii="宋体" w:hAnsi="宋体"/>
          <w:color w:val="auto"/>
          <w:szCs w:val="21"/>
          <w:highlight w:val="none"/>
        </w:rPr>
        <w:t>6.7.2 承包人应当规范现场施工秩序，实行标准化管理：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(1)承包人的现场必须干净整治、做到无积水、无淤泥、无杂物，材料堆放整齐；</w:t>
      </w:r>
    </w:p>
    <w:p>
      <w:pPr>
        <w:spacing w:line="360" w:lineRule="auto"/>
        <w:ind w:right="-174" w:rightChars="-83" w:firstLine="420" w:firstLineChars="200"/>
        <w:rPr>
          <w:rFonts w:ascii="宋体" w:hAnsi="宋体"/>
          <w:color w:val="auto"/>
          <w:szCs w:val="21"/>
          <w:highlight w:val="none"/>
        </w:rPr>
      </w:pPr>
      <w:r>
        <w:rPr>
          <w:rFonts w:hint="eastAsia" w:ascii="宋体" w:hAnsi="宋体"/>
          <w:color w:val="auto"/>
          <w:szCs w:val="21"/>
          <w:highlight w:val="none"/>
        </w:rPr>
        <w:t>(2)现场应进行硬化处理，定期定时洒水，做好防治扬尘和大气污染工作；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(3)严格遵守“工完、料尽、场地净”的原则，不留垃圾、不留剩余施工材料和施工机具，各种设备运转正常；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(4)承包人修建的施工临时设施应符合工程师批准的施工规划要求，并应满足本节规定的各项安全要求；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(5)工程师可要求承包人在现场设置各级承包人的安全文明施工责任牌等文明施工警示牌；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(6)材料进入现场应按指定位置堆放整齐，不得影响现场施工或堵塞施工、消防通道。材料堆放场地应有专职的管理人员；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(7)施工和安装用的各种扣件、紧固件、绳索具、小型配件、镙钉等应在专设的仓库内装箱放置；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(8)现场风、水管及照明电线的布置应安全、合理、规范、有序，做到整齐美观。不得随意架设，造成隐患或影响施工。</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6.7.3 承包人应为其雇佣的施工工人建立并维护相应的生活宿舍、食堂、浴室、厕所和文化活动室等，其标准应满足政府有关机构的生活标准和卫生标准等的要求。</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6.7.4 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因承包人措施不得力或不到位而给工程带来的任何损失或损害由承包人自己负责。</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6.7.5 在工程施工期间，承包人应始终避免现场出现不必要的障碍物，妥当存放并处置施工设备和多余的材料，及时从现场清除运走任何废料、垃圾或不再需要的临时工程和设施。</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6.7.6 承包人应为现场的工人和其他所有工作人员提供符合卫生要求的厕所，厕所应贴有磁砖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p>
      <w:pPr>
        <w:spacing w:line="360" w:lineRule="auto"/>
        <w:ind w:right="42" w:rightChars="20" w:firstLine="479"/>
        <w:rPr>
          <w:rFonts w:ascii="宋体" w:hAnsi="宋体"/>
          <w:color w:val="auto"/>
          <w:szCs w:val="21"/>
          <w:highlight w:val="none"/>
        </w:rPr>
      </w:pPr>
      <w:r>
        <w:rPr>
          <w:rFonts w:hint="eastAsia" w:ascii="宋体" w:hAnsi="宋体"/>
          <w:color w:val="auto"/>
          <w:szCs w:val="21"/>
          <w:highlight w:val="none"/>
        </w:rPr>
        <w:t>6.7.7承包人应在现场设立固定的垃圾临时存放点并在各楼层或区域设立必要的垃圾箱；所有垃圾必须在当天清除出现场，并按有关行政管理部门的规定，运送到指定的垃圾消纳场。</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6.7.8 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混凝土浇注、材料运输、材料装卸、现场清理等工作中应采取一切必要的措施防止影响公共交通。</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6.7.9 承包人应当制订成品保护措施计划，并提供必要的人员、材料和设备用于整个工程的成品保护，包括对已完成的所有分包人和独立承包人(如果有)的工程或工作的保护，防止已完工作遭受任何损坏或破坏。成品保护措施应当合理安排工序，并包括工作面移交制度和责任赔偿制度。成品保护措施计划最迟应当在任何专业分包人或独立承包人进场施工前不少于28天报工程师审批。</w:t>
      </w:r>
    </w:p>
    <w:p>
      <w:pPr>
        <w:spacing w:line="360" w:lineRule="auto"/>
        <w:ind w:left="478" w:right="42" w:rightChars="20"/>
        <w:rPr>
          <w:rFonts w:ascii="宋体" w:hAnsi="宋体"/>
          <w:color w:val="auto"/>
          <w:szCs w:val="21"/>
          <w:highlight w:val="none"/>
        </w:rPr>
      </w:pPr>
      <w:r>
        <w:rPr>
          <w:rFonts w:hint="eastAsia" w:ascii="宋体" w:hAnsi="宋体"/>
          <w:color w:val="auto"/>
          <w:szCs w:val="21"/>
          <w:highlight w:val="none"/>
        </w:rPr>
        <w:t>6.7.10文明施工方面的其他要求如下：</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left="945" w:right="42" w:rightChars="20" w:hanging="945" w:hangingChars="450"/>
        <w:rPr>
          <w:rFonts w:ascii="宋体" w:hAnsi="宋体"/>
          <w:color w:val="auto"/>
          <w:szCs w:val="21"/>
          <w:highlight w:val="none"/>
        </w:rPr>
      </w:pPr>
      <w:r>
        <w:rPr>
          <w:rFonts w:hint="eastAsia" w:ascii="宋体" w:hAnsi="宋体"/>
          <w:color w:val="auto"/>
          <w:szCs w:val="21"/>
          <w:highlight w:val="none"/>
        </w:rPr>
        <w:t>6.8 环境保护</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6.8.1 在工程施工、完工及修补任何缺陷的过程中，承包人应当始终遵守国家和工程所在地有关环境保护、水土保护和污染防治的法律、法规、规章、规范、标准和规程等，履行其环境与生态保护职责。</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6.8.2 承包人应按合同约定和工程师指示，接受国家和地方环境保护行政主管部门的监督、监测和检查。承包人应对其违反现行法律、法规、规章、规范、标准和规程等以及本合同约定所造成的环境污染、水土流失、人员伤害和财产损失等承担赔偿责任。</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6.8.3 承包人制订施工方案和组织措施时应当同步考虑环境和资源保护，包括水土资源保护、噪声、振动和照明污染防治、固体废弃物处理、污水和废气处理、粉尘和扬尘控制、道路污染防治、卫生防疫、禁止有害材料、节能减排以及不可再生资源的循环使用等因素。</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6.8.4 承包人应当做好现场范围内各项工程的开挖支护、截水、降水、灌浆、衬砌、挡护结构及排水等工程防护措施。现场内所有边坡应当采取有效的水土流失防治和保持措施。承包人采用的降水方案应当充分考虑对地下水的保护和合理使用，如果国家和(或)地方人民政府有特别规定的，承包人应当遵守有关规定。承包人还应设置完善的排水系统，保持现场始终处于良好的排水状态，防止降雨径流对现场的冲刷。</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6.8.5 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6.8.6 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6.8.7 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6.8.8 承包人应当采取有效措施，建立相应的过滤、分离、分解或沉淀等处理系统，不得让有害物质(如燃料、油料、化学品、酸等，以及超过剂量的有害气体和尘埃、污水、泥土或水、弃渣等)污染现场及其周边环境。承包人施工工序、工作时间安排和施工设备的配置应当充分考虑降低噪声和照明等对现场周边生产和生活的影响，并满足国家和地方政府有关规定的要求。</w:t>
      </w:r>
    </w:p>
    <w:p>
      <w:pPr>
        <w:spacing w:line="360" w:lineRule="auto"/>
        <w:ind w:left="1004" w:leftChars="228" w:right="42" w:rightChars="20" w:hanging="525" w:hangingChars="250"/>
        <w:rPr>
          <w:rFonts w:ascii="宋体" w:hAnsi="宋体"/>
          <w:color w:val="auto"/>
          <w:szCs w:val="21"/>
          <w:highlight w:val="none"/>
        </w:rPr>
      </w:pPr>
      <w:r>
        <w:rPr>
          <w:rFonts w:hint="eastAsia" w:ascii="宋体" w:hAnsi="宋体"/>
          <w:color w:val="auto"/>
          <w:szCs w:val="21"/>
          <w:highlight w:val="none"/>
        </w:rPr>
        <w:t>6.8.9 环境保护方面的其他要求如下：</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before="72" w:beforeLines="30" w:after="72" w:afterLines="30" w:line="360" w:lineRule="auto"/>
        <w:ind w:left="945" w:right="42" w:rightChars="20" w:hanging="945" w:hangingChars="450"/>
        <w:rPr>
          <w:rFonts w:ascii="宋体" w:hAnsi="宋体"/>
          <w:color w:val="auto"/>
          <w:szCs w:val="21"/>
          <w:highlight w:val="none"/>
        </w:rPr>
      </w:pPr>
      <w:r>
        <w:rPr>
          <w:rFonts w:hint="eastAsia" w:ascii="宋体" w:hAnsi="宋体"/>
          <w:color w:val="auto"/>
          <w:szCs w:val="21"/>
          <w:highlight w:val="none"/>
        </w:rPr>
        <w:t>6.9 施工环保措施计划</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6.9.1 施工环保措施计划是承包人阐明环保方针和拟采用的环保措施及方法等的文件，其内容应包括但不限于：</w:t>
      </w:r>
    </w:p>
    <w:p>
      <w:pPr>
        <w:spacing w:line="360" w:lineRule="auto"/>
        <w:ind w:right="42" w:rightChars="20" w:firstLine="420" w:firstLineChars="200"/>
        <w:rPr>
          <w:rFonts w:ascii="宋体" w:hAnsi="宋体"/>
          <w:color w:val="auto"/>
          <w:szCs w:val="21"/>
          <w:highlight w:val="none"/>
        </w:rPr>
      </w:pPr>
      <w:r>
        <w:rPr>
          <w:rFonts w:hint="eastAsia" w:ascii="宋体" w:hAnsi="宋体"/>
          <w:color w:val="auto"/>
          <w:szCs w:val="21"/>
          <w:highlight w:val="none"/>
        </w:rPr>
        <w:t>(1)承包人生活区(如果有)的生活用水和生活污水处理措施；</w:t>
      </w:r>
    </w:p>
    <w:p>
      <w:pPr>
        <w:spacing w:line="360" w:lineRule="auto"/>
        <w:ind w:right="42" w:rightChars="20" w:firstLine="420" w:firstLineChars="200"/>
        <w:rPr>
          <w:rFonts w:ascii="宋体" w:hAnsi="宋体"/>
          <w:color w:val="auto"/>
          <w:szCs w:val="21"/>
          <w:highlight w:val="none"/>
        </w:rPr>
      </w:pPr>
      <w:r>
        <w:rPr>
          <w:rFonts w:hint="eastAsia" w:ascii="宋体" w:hAnsi="宋体"/>
          <w:color w:val="auto"/>
          <w:szCs w:val="21"/>
          <w:highlight w:val="none"/>
        </w:rPr>
        <w:t>(2)施工生产废水处理措施；</w:t>
      </w:r>
    </w:p>
    <w:p>
      <w:pPr>
        <w:spacing w:line="360" w:lineRule="auto"/>
        <w:ind w:right="42" w:rightChars="20" w:firstLine="420" w:firstLineChars="200"/>
        <w:rPr>
          <w:rFonts w:ascii="宋体" w:hAnsi="宋体"/>
          <w:color w:val="auto"/>
          <w:szCs w:val="21"/>
          <w:highlight w:val="none"/>
        </w:rPr>
      </w:pPr>
      <w:r>
        <w:rPr>
          <w:rFonts w:hint="eastAsia" w:ascii="宋体" w:hAnsi="宋体"/>
          <w:color w:val="auto"/>
          <w:szCs w:val="21"/>
          <w:highlight w:val="none"/>
        </w:rPr>
        <w:t>(3)施工扬尘和废气的处理措施；</w:t>
      </w:r>
    </w:p>
    <w:p>
      <w:pPr>
        <w:spacing w:line="360" w:lineRule="auto"/>
        <w:ind w:right="42" w:rightChars="20" w:firstLine="420" w:firstLineChars="200"/>
        <w:rPr>
          <w:rFonts w:ascii="宋体" w:hAnsi="宋体"/>
          <w:color w:val="auto"/>
          <w:szCs w:val="21"/>
          <w:highlight w:val="none"/>
        </w:rPr>
      </w:pPr>
      <w:r>
        <w:rPr>
          <w:rFonts w:hint="eastAsia" w:ascii="宋体" w:hAnsi="宋体"/>
          <w:color w:val="auto"/>
          <w:szCs w:val="21"/>
          <w:highlight w:val="none"/>
        </w:rPr>
        <w:t>(4)施工噪声和光污染控制措施；</w:t>
      </w:r>
    </w:p>
    <w:p>
      <w:pPr>
        <w:spacing w:line="360" w:lineRule="auto"/>
        <w:ind w:right="42" w:rightChars="20" w:firstLine="420" w:firstLineChars="200"/>
        <w:rPr>
          <w:rFonts w:ascii="宋体" w:hAnsi="宋体"/>
          <w:color w:val="auto"/>
          <w:szCs w:val="21"/>
          <w:highlight w:val="none"/>
        </w:rPr>
      </w:pPr>
      <w:r>
        <w:rPr>
          <w:rFonts w:hint="eastAsia" w:ascii="宋体" w:hAnsi="宋体"/>
          <w:color w:val="auto"/>
          <w:szCs w:val="21"/>
          <w:highlight w:val="none"/>
        </w:rPr>
        <w:t>(5)节能减排措施；</w:t>
      </w:r>
    </w:p>
    <w:p>
      <w:pPr>
        <w:spacing w:line="360" w:lineRule="auto"/>
        <w:ind w:right="42" w:rightChars="20" w:firstLine="420" w:firstLineChars="200"/>
        <w:rPr>
          <w:rFonts w:ascii="宋体" w:hAnsi="宋体"/>
          <w:color w:val="auto"/>
          <w:szCs w:val="21"/>
          <w:highlight w:val="none"/>
        </w:rPr>
      </w:pPr>
      <w:r>
        <w:rPr>
          <w:rFonts w:hint="eastAsia" w:ascii="宋体" w:hAnsi="宋体"/>
          <w:color w:val="auto"/>
          <w:szCs w:val="21"/>
          <w:highlight w:val="none"/>
        </w:rPr>
        <w:t>(6)不可再生资源循环利用措施；</w:t>
      </w:r>
    </w:p>
    <w:p>
      <w:pPr>
        <w:spacing w:line="360" w:lineRule="auto"/>
        <w:ind w:right="42" w:rightChars="20" w:firstLine="420" w:firstLineChars="200"/>
        <w:rPr>
          <w:rFonts w:ascii="宋体" w:hAnsi="宋体"/>
          <w:color w:val="auto"/>
          <w:szCs w:val="21"/>
          <w:highlight w:val="none"/>
        </w:rPr>
      </w:pPr>
      <w:r>
        <w:rPr>
          <w:rFonts w:hint="eastAsia" w:ascii="宋体" w:hAnsi="宋体"/>
          <w:color w:val="auto"/>
          <w:szCs w:val="21"/>
          <w:highlight w:val="none"/>
        </w:rPr>
        <w:t>(7)固体废弃物处理措施；</w:t>
      </w:r>
    </w:p>
    <w:p>
      <w:pPr>
        <w:spacing w:line="360" w:lineRule="auto"/>
        <w:ind w:right="42" w:rightChars="20" w:firstLine="420" w:firstLineChars="200"/>
        <w:rPr>
          <w:rFonts w:ascii="宋体" w:hAnsi="宋体"/>
          <w:color w:val="auto"/>
          <w:szCs w:val="21"/>
          <w:highlight w:val="none"/>
        </w:rPr>
      </w:pPr>
      <w:r>
        <w:rPr>
          <w:rFonts w:hint="eastAsia" w:ascii="宋体" w:hAnsi="宋体"/>
          <w:color w:val="auto"/>
          <w:szCs w:val="21"/>
          <w:highlight w:val="none"/>
        </w:rPr>
        <w:t>(8)人群健康保护和卫生防疫措施；</w:t>
      </w:r>
    </w:p>
    <w:p>
      <w:pPr>
        <w:spacing w:line="360" w:lineRule="auto"/>
        <w:ind w:right="42" w:rightChars="20" w:firstLine="420" w:firstLineChars="200"/>
        <w:rPr>
          <w:rFonts w:ascii="宋体" w:hAnsi="宋体"/>
          <w:color w:val="auto"/>
          <w:szCs w:val="21"/>
          <w:highlight w:val="none"/>
        </w:rPr>
      </w:pPr>
      <w:r>
        <w:rPr>
          <w:rFonts w:hint="eastAsia" w:ascii="宋体" w:hAnsi="宋体"/>
          <w:color w:val="auto"/>
          <w:szCs w:val="21"/>
          <w:highlight w:val="none"/>
        </w:rPr>
        <w:t>(9)防止误用有害材料的保证措施；</w:t>
      </w:r>
    </w:p>
    <w:p>
      <w:pPr>
        <w:spacing w:line="360" w:lineRule="auto"/>
        <w:ind w:right="42" w:rightChars="20" w:firstLine="420" w:firstLineChars="200"/>
        <w:rPr>
          <w:rFonts w:ascii="宋体" w:hAnsi="宋体"/>
          <w:color w:val="auto"/>
          <w:szCs w:val="21"/>
          <w:highlight w:val="none"/>
        </w:rPr>
      </w:pPr>
      <w:r>
        <w:rPr>
          <w:rFonts w:hint="eastAsia" w:ascii="宋体" w:hAnsi="宋体"/>
          <w:color w:val="auto"/>
          <w:szCs w:val="21"/>
          <w:highlight w:val="none"/>
        </w:rPr>
        <w:t>(10)施工边坡工程的水土流失保护措施；</w:t>
      </w:r>
    </w:p>
    <w:p>
      <w:pPr>
        <w:spacing w:line="360" w:lineRule="auto"/>
        <w:ind w:right="42" w:rightChars="20" w:firstLine="420" w:firstLineChars="200"/>
        <w:rPr>
          <w:rFonts w:ascii="宋体" w:hAnsi="宋体"/>
          <w:color w:val="auto"/>
          <w:szCs w:val="21"/>
          <w:highlight w:val="none"/>
        </w:rPr>
      </w:pPr>
      <w:r>
        <w:rPr>
          <w:rFonts w:hint="eastAsia" w:ascii="宋体" w:hAnsi="宋体"/>
          <w:color w:val="auto"/>
          <w:szCs w:val="21"/>
          <w:highlight w:val="none"/>
        </w:rPr>
        <w:t>(11)道路污染防治措施；</w:t>
      </w:r>
    </w:p>
    <w:p>
      <w:pPr>
        <w:spacing w:line="360" w:lineRule="auto"/>
        <w:ind w:right="42" w:rightChars="20" w:firstLine="420" w:firstLineChars="200"/>
        <w:rPr>
          <w:rFonts w:ascii="宋体" w:hAnsi="宋体"/>
          <w:color w:val="auto"/>
          <w:szCs w:val="21"/>
          <w:highlight w:val="none"/>
        </w:rPr>
      </w:pPr>
      <w:r>
        <w:rPr>
          <w:rFonts w:hint="eastAsia" w:ascii="宋体" w:hAnsi="宋体"/>
          <w:color w:val="auto"/>
          <w:szCs w:val="21"/>
          <w:highlight w:val="none"/>
        </w:rPr>
        <w:t>(12)完工后场地清理及其植被(如果有)恢复的规划和措施；</w:t>
      </w:r>
    </w:p>
    <w:p>
      <w:pPr>
        <w:spacing w:line="360" w:lineRule="auto"/>
        <w:ind w:right="42" w:rightChars="20" w:firstLine="420" w:firstLineChars="200"/>
        <w:rPr>
          <w:rFonts w:ascii="宋体" w:hAnsi="宋体"/>
          <w:color w:val="auto"/>
          <w:szCs w:val="21"/>
          <w:highlight w:val="none"/>
        </w:rPr>
      </w:pPr>
      <w:r>
        <w:rPr>
          <w:rFonts w:hint="eastAsia" w:ascii="宋体" w:hAnsi="宋体"/>
          <w:color w:val="auto"/>
          <w:szCs w:val="21"/>
          <w:highlight w:val="none"/>
        </w:rPr>
        <w:t>(13)其他：</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6.9.2 施工环保措施计划应当报送工程师。承包人应当严格执行经工程师批准的施工环保措施计划，并及时补充、修订和完善施工环保措施计划。</w:t>
      </w:r>
    </w:p>
    <w:p>
      <w:pPr>
        <w:spacing w:line="360" w:lineRule="auto"/>
        <w:outlineLvl w:val="2"/>
        <w:rPr>
          <w:rFonts w:ascii="宋体" w:hAnsi="宋体"/>
          <w:color w:val="auto"/>
          <w:szCs w:val="21"/>
          <w:highlight w:val="none"/>
        </w:rPr>
      </w:pPr>
      <w:bookmarkStart w:id="181" w:name="_Toc440870117"/>
      <w:bookmarkStart w:id="182" w:name="_Toc364682226"/>
      <w:bookmarkStart w:id="183" w:name="_Toc440869864"/>
      <w:bookmarkStart w:id="184" w:name="_Toc364679614"/>
      <w:r>
        <w:rPr>
          <w:rFonts w:hint="eastAsia" w:ascii="宋体" w:hAnsi="宋体"/>
          <w:color w:val="auto"/>
          <w:szCs w:val="21"/>
          <w:highlight w:val="none"/>
        </w:rPr>
        <w:t>7.治安保卫</w:t>
      </w:r>
      <w:bookmarkEnd w:id="181"/>
      <w:bookmarkEnd w:id="182"/>
      <w:bookmarkEnd w:id="183"/>
      <w:bookmarkEnd w:id="184"/>
    </w:p>
    <w:p>
      <w:pPr>
        <w:spacing w:line="360" w:lineRule="auto"/>
        <w:ind w:firstLine="420" w:firstLineChars="200"/>
        <w:rPr>
          <w:rFonts w:ascii="宋体" w:hAnsi="宋体"/>
          <w:color w:val="auto"/>
          <w:spacing w:val="6"/>
          <w:szCs w:val="21"/>
          <w:highlight w:val="none"/>
        </w:rPr>
      </w:pPr>
      <w:r>
        <w:rPr>
          <w:rFonts w:hint="eastAsia" w:ascii="宋体" w:hAnsi="宋体"/>
          <w:color w:val="auto"/>
          <w:szCs w:val="21"/>
          <w:highlight w:val="none"/>
        </w:rPr>
        <w:t>7.1</w:t>
      </w:r>
      <w:r>
        <w:rPr>
          <w:rFonts w:hint="eastAsia" w:ascii="宋体" w:hAnsi="宋体"/>
          <w:color w:val="auto"/>
          <w:spacing w:val="6"/>
          <w:szCs w:val="21"/>
          <w:highlight w:val="none"/>
        </w:rPr>
        <w:t>承包人应为现场提供24小时的保安保卫服务，配备足够的保安人员和保安设备，防止未经批准的任何人进入现场，控制人员、材料和设备等的进出场，防止现场材料、设备或其他任何物品的失窃，禁止任何现场内的打架斗殴事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7.2 </w:t>
      </w:r>
      <w:r>
        <w:rPr>
          <w:rFonts w:hint="eastAsia" w:ascii="宋体" w:hAnsi="宋体"/>
          <w:color w:val="auto"/>
          <w:spacing w:val="6"/>
          <w:szCs w:val="21"/>
          <w:highlight w:val="none"/>
        </w:rPr>
        <w:t>承包人的保安人员应是训练有素的专业保安人员，承包人可以雇佣专业保安公司负责现场保安和保卫；保安保卫制度除规范现场出入大门控制外，还应规定定时和不定时</w:t>
      </w:r>
      <w:r>
        <w:rPr>
          <w:rFonts w:hint="eastAsia" w:ascii="宋体" w:hAnsi="宋体"/>
          <w:color w:val="auto"/>
          <w:szCs w:val="21"/>
          <w:highlight w:val="none"/>
        </w:rPr>
        <w:t>的现场周边和全现场的保安巡逻。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7.3 承包人应制定并实施严格的现场出入制度并报工程师审批；车辆的出入须有出入审批制度，并有指定的专人负责管理；人员进出现场应有出入证，出入证须以经过工程师批准的格式印制。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7.4 承包人应确保任何未经工程师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工程师批准的参观人员的人身安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7.5承包人应为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7.6  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任何处罚、索赔、损失和损害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7.7 现场治安管理计划的要求：</w:t>
      </w:r>
      <w:r>
        <w:rPr>
          <w:rFonts w:hint="eastAsia" w:ascii="宋体" w:hAnsi="宋体"/>
          <w:color w:val="auto"/>
          <w:szCs w:val="21"/>
          <w:highlight w:val="none"/>
          <w:u w:val="single"/>
        </w:rPr>
        <w:t xml:space="preserve"> 双方另行约定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7.8 突发治安事件紧急预案的要求：</w:t>
      </w:r>
      <w:r>
        <w:rPr>
          <w:rFonts w:hint="eastAsia" w:ascii="宋体" w:hAnsi="宋体"/>
          <w:color w:val="auto"/>
          <w:szCs w:val="21"/>
          <w:highlight w:val="none"/>
          <w:u w:val="single"/>
        </w:rPr>
        <w:t xml:space="preserve"> 双方另行约定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7.9治安保卫方面的其他要求如下：</w:t>
      </w:r>
      <w:r>
        <w:rPr>
          <w:rFonts w:hint="eastAsia" w:ascii="宋体" w:hAnsi="宋体"/>
          <w:color w:val="auto"/>
          <w:szCs w:val="21"/>
          <w:highlight w:val="none"/>
          <w:u w:val="single"/>
        </w:rPr>
        <w:t xml:space="preserve">  双方另行约定  </w:t>
      </w:r>
      <w:r>
        <w:rPr>
          <w:rFonts w:hint="eastAsia" w:ascii="宋体" w:hAnsi="宋体"/>
          <w:color w:val="auto"/>
          <w:szCs w:val="21"/>
          <w:highlight w:val="none"/>
        </w:rPr>
        <w:t>。</w:t>
      </w:r>
    </w:p>
    <w:p>
      <w:pPr>
        <w:spacing w:line="360" w:lineRule="auto"/>
        <w:outlineLvl w:val="2"/>
        <w:rPr>
          <w:rFonts w:ascii="宋体" w:hAnsi="宋体"/>
          <w:color w:val="auto"/>
          <w:szCs w:val="21"/>
          <w:highlight w:val="none"/>
        </w:rPr>
      </w:pPr>
      <w:bookmarkStart w:id="185" w:name="_Toc364679615"/>
      <w:bookmarkStart w:id="186" w:name="_Toc440870118"/>
      <w:bookmarkStart w:id="187" w:name="_Toc364682227"/>
      <w:bookmarkStart w:id="188" w:name="_Toc440869865"/>
      <w:r>
        <w:rPr>
          <w:rFonts w:hint="eastAsia" w:ascii="宋体" w:hAnsi="宋体"/>
          <w:color w:val="auto"/>
          <w:szCs w:val="21"/>
          <w:highlight w:val="none"/>
        </w:rPr>
        <w:t>8.地上、地下设施和周边建筑物的临时保护</w:t>
      </w:r>
      <w:bookmarkEnd w:id="185"/>
      <w:bookmarkEnd w:id="186"/>
      <w:bookmarkEnd w:id="187"/>
      <w:bookmarkEnd w:id="188"/>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8.1 承包人应为施工场地及其周边现有的地上、地下设施和建筑物提供足够的临时保护设施，确保施工过程中这些设施和建筑物不会受到干扰和破坏。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8.2 承包人应当制订现有设施临时保护方案和应急处理方案，并在本工程开工前至少提前7天报送工程师，工程师应在收到现有设施临时保护方案后的3天内批复承包人。承包人应当严格执行经工程师批准的保护方案，并保证在任何可能影响周边现有的地上、地下设施或周边建筑物的施工作业开始前，相应的临时保护设施能够落实到位。</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8.3 发包人特别提醒承包人注意以下地上、地下设施和周边建筑物的保护：</w:t>
      </w:r>
      <w:r>
        <w:rPr>
          <w:rFonts w:hint="eastAsia" w:ascii="宋体" w:hAnsi="宋体"/>
          <w:color w:val="auto"/>
          <w:szCs w:val="21"/>
          <w:highlight w:val="none"/>
          <w:u w:val="single"/>
        </w:rPr>
        <w:t xml:space="preserve">另见发包人指示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8.4地上、地下设施和周边建筑物的临时保护的其他要求如下</w:t>
      </w:r>
      <w:r>
        <w:rPr>
          <w:rFonts w:hint="eastAsia" w:ascii="宋体" w:hAnsi="宋体"/>
          <w:color w:val="auto"/>
          <w:szCs w:val="21"/>
          <w:highlight w:val="none"/>
          <w:u w:val="single"/>
        </w:rPr>
        <w:t xml:space="preserve">  另见发包人指示   </w:t>
      </w:r>
      <w:r>
        <w:rPr>
          <w:rFonts w:hint="eastAsia" w:ascii="宋体" w:hAnsi="宋体"/>
          <w:color w:val="auto"/>
          <w:szCs w:val="21"/>
          <w:highlight w:val="none"/>
        </w:rPr>
        <w:t>。</w:t>
      </w:r>
    </w:p>
    <w:p>
      <w:pPr>
        <w:spacing w:line="360" w:lineRule="auto"/>
        <w:ind w:left="945" w:hanging="945" w:hangingChars="450"/>
        <w:outlineLvl w:val="2"/>
        <w:rPr>
          <w:rFonts w:ascii="宋体" w:hAnsi="宋体"/>
          <w:color w:val="auto"/>
          <w:szCs w:val="21"/>
          <w:highlight w:val="none"/>
        </w:rPr>
      </w:pPr>
      <w:bookmarkStart w:id="189" w:name="_Toc440869866"/>
      <w:bookmarkStart w:id="190" w:name="_Toc440870119"/>
      <w:bookmarkStart w:id="191" w:name="_Toc364679616"/>
      <w:bookmarkStart w:id="192" w:name="_Toc364682228"/>
      <w:r>
        <w:rPr>
          <w:rFonts w:hint="eastAsia" w:ascii="宋体" w:hAnsi="宋体"/>
          <w:color w:val="auto"/>
          <w:szCs w:val="21"/>
          <w:highlight w:val="none"/>
        </w:rPr>
        <w:t>9.样品和材料代换</w:t>
      </w:r>
      <w:bookmarkEnd w:id="189"/>
      <w:bookmarkEnd w:id="190"/>
      <w:bookmarkEnd w:id="191"/>
      <w:bookmarkEnd w:id="192"/>
    </w:p>
    <w:p>
      <w:pPr>
        <w:spacing w:line="360" w:lineRule="auto"/>
        <w:ind w:left="945" w:hanging="945" w:hangingChars="450"/>
        <w:rPr>
          <w:rFonts w:ascii="宋体" w:hAnsi="宋体"/>
          <w:color w:val="auto"/>
          <w:szCs w:val="21"/>
          <w:highlight w:val="none"/>
        </w:rPr>
      </w:pPr>
      <w:r>
        <w:rPr>
          <w:rFonts w:hint="eastAsia" w:ascii="宋体" w:hAnsi="宋体"/>
          <w:color w:val="auto"/>
          <w:szCs w:val="21"/>
          <w:highlight w:val="none"/>
        </w:rPr>
        <w:t>9.1 样品</w:t>
      </w:r>
    </w:p>
    <w:p>
      <w:pPr>
        <w:spacing w:line="360" w:lineRule="auto"/>
        <w:ind w:left="1004" w:leftChars="228" w:hanging="525" w:hangingChars="250"/>
        <w:rPr>
          <w:rFonts w:ascii="宋体" w:hAnsi="宋体"/>
          <w:color w:val="auto"/>
          <w:szCs w:val="21"/>
          <w:highlight w:val="none"/>
        </w:rPr>
      </w:pPr>
      <w:r>
        <w:rPr>
          <w:rFonts w:hint="eastAsia" w:ascii="宋体" w:hAnsi="宋体"/>
          <w:color w:val="auto"/>
          <w:szCs w:val="21"/>
          <w:highlight w:val="none"/>
        </w:rPr>
        <w:t>9.1.1 本工程需要承包人提供样品的材料和工程设备如下：</w:t>
      </w:r>
      <w:r>
        <w:rPr>
          <w:rFonts w:hint="eastAsia" w:ascii="宋体" w:hAnsi="宋体"/>
          <w:color w:val="auto"/>
          <w:szCs w:val="21"/>
          <w:highlight w:val="none"/>
          <w:u w:val="single"/>
        </w:rPr>
        <w:t xml:space="preserve"> 按照发包人要求  </w:t>
      </w:r>
      <w:r>
        <w:rPr>
          <w:rFonts w:hint="eastAsia" w:ascii="宋体" w:hAnsi="宋体"/>
          <w:color w:val="auto"/>
          <w:szCs w:val="21"/>
          <w:highlight w:val="none"/>
        </w:rPr>
        <w:t>。</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9.1.2对于约定的材料和工程设备，承包人应向工程师提交样品并附上任何必要的说明书、生产(制造)许可证书、出厂合格证明或者证书、出厂检测报告、性能介绍、使用说明等相关资料，同时注明材料和工程设备的供货人及品种、规格、数量和供货时间等，以供检验和审批。样品送达的地点和样品的数量或尺寸应符合工程师和发包人的要求。除合同另有约定外，承包人在报送任何样品时应按工程师同意的格式填写并提交样品报送单。工程师应及时签收样品。</w:t>
      </w:r>
    </w:p>
    <w:p>
      <w:pPr>
        <w:spacing w:line="360" w:lineRule="auto"/>
        <w:ind w:firstLine="478" w:firstLineChars="228"/>
        <w:rPr>
          <w:rFonts w:ascii="宋体" w:hAnsi="宋体"/>
          <w:color w:val="auto"/>
          <w:szCs w:val="21"/>
          <w:highlight w:val="none"/>
        </w:rPr>
      </w:pPr>
      <w:r>
        <w:rPr>
          <w:rFonts w:hint="eastAsia" w:ascii="宋体" w:hAnsi="宋体"/>
          <w:color w:val="auto"/>
          <w:szCs w:val="21"/>
          <w:highlight w:val="none"/>
        </w:rPr>
        <w:t>9.1.3以暂估价形式包括在工程量清单中的材料和工程设备，所附资料除本款第9.1.2项约定的内容外，还应附上价格资料，每一类材料设备，至少应准备符合合同要求的3个产品，价格分高、中、低三档，以便工程师和发包人选择和批准。</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9.1.4 工程师应在收到承包人报送的样品后7天内转呈发包人并附上工程师的书面审批意见。发包人在收到通过工程师转交的样品以及工程师的审批意见后7天内就此样品给出书面批复。工程师应在收到样品后21天内通知承包人对他相关样品所作出的决定或指示(同时抄送一份给发包人)。承包人应根据工程师的书面批复和指示相应地进行下一步工作。如果工程师未能在承包人报送样品后21天内给出书面批复，承包人应就此通知工程师，要求尽快批复。如果工程师在收到此类通知后7天内仍未对样品进行批复，则视为工程师和发包人已经批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9.1.5 得到批准后的样品由工程师负责存放。但承包人应为保存样品提供适当和固定的场所并保持适当和良好的环境条件。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9.1.6 提供样品和提供存放样品场所的费用由承包人承担。</w:t>
      </w:r>
    </w:p>
    <w:p>
      <w:pPr>
        <w:spacing w:before="120" w:beforeLines="50" w:after="120" w:afterLines="50" w:line="360" w:lineRule="auto"/>
        <w:ind w:left="945" w:hanging="945" w:hangingChars="450"/>
        <w:rPr>
          <w:rFonts w:ascii="宋体" w:hAnsi="宋体"/>
          <w:color w:val="auto"/>
          <w:szCs w:val="21"/>
          <w:highlight w:val="none"/>
        </w:rPr>
      </w:pPr>
      <w:r>
        <w:rPr>
          <w:rFonts w:hint="eastAsia" w:ascii="宋体" w:hAnsi="宋体"/>
          <w:color w:val="auto"/>
          <w:szCs w:val="21"/>
          <w:highlight w:val="none"/>
        </w:rPr>
        <w:t>9.2 材料代换</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9.2.1如果任何后继法律、法规、规章、规范、标准和规程等禁止使用合同中约定的材料和工程设备，承包人应当按本款约定的程序使用其他替代品来实施工程或修补缺陷。工程师对使用替代品的批准以及承包人据此使用替代品不应减免合同约定的承包人的任何责任和义务。</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9.2.2如果使用替代品，承包人应至少在被替代品按批准的进度计划用于永久工程前56天以书面形式通知工程师并随此通知提交下列文件：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(1)拟被替代的合同约定的材料和工程设备的名称、数量、规格、型号、品牌、性能、价格及其他任何详细资料；</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(2)拟采用的替代品的名称、数量、规格、型号、品牌、性能、价格及其他任何必要的详细资料；</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(3)替代品使用的工程部位；</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(4)采用替代品的理由和原因说明；</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(5)替代品与合同中约定的产品之间的差异以及使用替代品后可能对工程产生的任何影响；</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(6)价格上的差异；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(7)工程师为做出适当的决定而随时要求承包人提供的任何其他文件。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工程师在收到此类通知及上述文件后，应在28天内向承包人发出书面指示。如果在28天内未向工程师发出书面指示，应视为工程师和发包人已经批准使用上述替代品，承包人可以据此使用替代品。</w:t>
      </w:r>
    </w:p>
    <w:p>
      <w:pPr>
        <w:spacing w:line="360" w:lineRule="auto"/>
        <w:ind w:left="1004" w:leftChars="228" w:hanging="525" w:hangingChars="250"/>
        <w:rPr>
          <w:rFonts w:ascii="宋体" w:hAnsi="宋体"/>
          <w:color w:val="auto"/>
          <w:szCs w:val="21"/>
          <w:highlight w:val="none"/>
        </w:rPr>
      </w:pPr>
      <w:r>
        <w:rPr>
          <w:rFonts w:hint="eastAsia" w:ascii="宋体" w:hAnsi="宋体"/>
          <w:color w:val="auto"/>
          <w:szCs w:val="21"/>
          <w:highlight w:val="none"/>
        </w:rPr>
        <w:t>9.2.3任何情况下，替代品都应遵守本合同中对相关材料和工程设备的要求。</w:t>
      </w:r>
    </w:p>
    <w:p>
      <w:pPr>
        <w:spacing w:line="360" w:lineRule="auto"/>
        <w:ind w:left="1004" w:leftChars="228" w:hanging="525" w:hangingChars="250"/>
        <w:rPr>
          <w:rFonts w:ascii="宋体" w:hAnsi="宋体"/>
          <w:color w:val="auto"/>
          <w:szCs w:val="21"/>
          <w:highlight w:val="none"/>
        </w:rPr>
      </w:pPr>
      <w:r>
        <w:rPr>
          <w:rFonts w:hint="eastAsia" w:ascii="宋体" w:hAnsi="宋体"/>
          <w:color w:val="auto"/>
          <w:szCs w:val="21"/>
          <w:highlight w:val="none"/>
        </w:rPr>
        <w:t>9.2.4 如果承包人根据本条约定使用了替代品，工程师应与承包人适当协商之后并在</w:t>
      </w:r>
    </w:p>
    <w:p>
      <w:pPr>
        <w:spacing w:line="360" w:lineRule="auto"/>
        <w:rPr>
          <w:rFonts w:ascii="宋体" w:hAnsi="宋体"/>
          <w:color w:val="auto"/>
          <w:szCs w:val="21"/>
          <w:highlight w:val="none"/>
        </w:rPr>
      </w:pPr>
      <w:r>
        <w:rPr>
          <w:rFonts w:hint="eastAsia" w:ascii="宋体" w:hAnsi="宋体"/>
          <w:color w:val="auto"/>
          <w:szCs w:val="21"/>
          <w:highlight w:val="none"/>
        </w:rPr>
        <w:t>合理的期限内确定替代材料和工程设备与合同中约定的材料和工程设备之间的价格差值，并决定：</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(1)如果替代材料和工程设备的价格高于合同中约定的材料和工程设备的价格，则将高出部分的价格追加到合同价格中并相应地通知承包人；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(2)如果替代材料和工程设备的价格低于合同中约定的材料和工程设备的价格，则将节余部分的价格从合同价格中扣除并相应地通知承包人。</w:t>
      </w:r>
    </w:p>
    <w:p>
      <w:pPr>
        <w:spacing w:line="360" w:lineRule="auto"/>
        <w:outlineLvl w:val="2"/>
        <w:rPr>
          <w:rFonts w:ascii="宋体" w:hAnsi="宋体"/>
          <w:color w:val="auto"/>
          <w:szCs w:val="21"/>
          <w:highlight w:val="none"/>
        </w:rPr>
      </w:pPr>
      <w:bookmarkStart w:id="193" w:name="_Toc364682229"/>
      <w:bookmarkStart w:id="194" w:name="_Toc364679617"/>
      <w:bookmarkStart w:id="195" w:name="_Toc440869867"/>
      <w:bookmarkStart w:id="196" w:name="_Toc440870120"/>
      <w:r>
        <w:rPr>
          <w:rFonts w:hint="eastAsia" w:ascii="宋体" w:hAnsi="宋体"/>
          <w:color w:val="auto"/>
          <w:szCs w:val="21"/>
          <w:highlight w:val="none"/>
        </w:rPr>
        <w:t>10.进口材料和工程设备</w:t>
      </w:r>
      <w:bookmarkEnd w:id="193"/>
      <w:bookmarkEnd w:id="194"/>
      <w:bookmarkEnd w:id="195"/>
      <w:bookmarkEnd w:id="196"/>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10.1 本工程需要进口的材料和工程设备如下：</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left="945" w:leftChars="250" w:hanging="420" w:hangingChars="200"/>
        <w:rPr>
          <w:rFonts w:ascii="宋体" w:hAnsi="宋体"/>
          <w:color w:val="auto"/>
          <w:szCs w:val="21"/>
          <w:highlight w:val="none"/>
        </w:rPr>
      </w:pPr>
      <w:r>
        <w:rPr>
          <w:rFonts w:hint="eastAsia" w:ascii="宋体" w:hAnsi="宋体"/>
          <w:color w:val="auto"/>
          <w:szCs w:val="21"/>
          <w:highlight w:val="none"/>
        </w:rPr>
        <w:t>10.2上述进口材料和工程设备采购、进口、报关、清关、商检、境内运输(包括保险)、</w:t>
      </w:r>
    </w:p>
    <w:p>
      <w:pPr>
        <w:spacing w:line="360" w:lineRule="auto"/>
        <w:ind w:left="945" w:hanging="945" w:hangingChars="450"/>
        <w:rPr>
          <w:rFonts w:ascii="宋体" w:hAnsi="宋体"/>
          <w:color w:val="auto"/>
          <w:szCs w:val="21"/>
          <w:highlight w:val="none"/>
        </w:rPr>
      </w:pPr>
      <w:r>
        <w:rPr>
          <w:rFonts w:hint="eastAsia" w:ascii="宋体" w:hAnsi="宋体"/>
          <w:color w:val="auto"/>
          <w:szCs w:val="21"/>
          <w:highlight w:val="none"/>
        </w:rPr>
        <w:t>保管的责任以及费用承担方式划分如下：</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left="945" w:hanging="945" w:hangingChars="450"/>
        <w:jc w:val="left"/>
        <w:outlineLvl w:val="2"/>
        <w:rPr>
          <w:rFonts w:ascii="宋体" w:hAnsi="宋体"/>
          <w:color w:val="auto"/>
          <w:szCs w:val="21"/>
          <w:highlight w:val="none"/>
        </w:rPr>
      </w:pPr>
      <w:bookmarkStart w:id="197" w:name="_Toc364679618"/>
      <w:bookmarkStart w:id="198" w:name="_Toc440870121"/>
      <w:bookmarkStart w:id="199" w:name="_Toc364682230"/>
      <w:bookmarkStart w:id="200" w:name="_Toc440869868"/>
      <w:r>
        <w:rPr>
          <w:rFonts w:hint="eastAsia" w:ascii="宋体" w:hAnsi="宋体"/>
          <w:color w:val="auto"/>
          <w:szCs w:val="21"/>
          <w:highlight w:val="none"/>
        </w:rPr>
        <w:t>11.进度报告和进度例会</w:t>
      </w:r>
      <w:bookmarkEnd w:id="197"/>
      <w:bookmarkEnd w:id="198"/>
      <w:bookmarkEnd w:id="199"/>
      <w:bookmarkEnd w:id="200"/>
    </w:p>
    <w:p>
      <w:pPr>
        <w:spacing w:line="360" w:lineRule="auto"/>
        <w:ind w:left="945" w:hanging="945" w:hangingChars="450"/>
        <w:jc w:val="left"/>
        <w:rPr>
          <w:rFonts w:ascii="宋体" w:hAnsi="宋体"/>
          <w:color w:val="auto"/>
          <w:szCs w:val="21"/>
          <w:highlight w:val="none"/>
        </w:rPr>
      </w:pPr>
      <w:r>
        <w:rPr>
          <w:rFonts w:hint="eastAsia" w:ascii="宋体" w:hAnsi="宋体"/>
          <w:color w:val="auto"/>
          <w:szCs w:val="21"/>
          <w:highlight w:val="none"/>
        </w:rPr>
        <w:t>11.1 进度报告</w:t>
      </w:r>
    </w:p>
    <w:p>
      <w:pPr>
        <w:spacing w:line="360" w:lineRule="auto"/>
        <w:ind w:firstLine="478" w:firstLineChars="228"/>
        <w:jc w:val="left"/>
        <w:rPr>
          <w:rFonts w:ascii="宋体" w:hAnsi="宋体"/>
          <w:color w:val="auto"/>
          <w:szCs w:val="21"/>
          <w:highlight w:val="none"/>
        </w:rPr>
      </w:pPr>
      <w:r>
        <w:rPr>
          <w:rFonts w:hint="eastAsia" w:ascii="宋体" w:hAnsi="宋体"/>
          <w:color w:val="auto"/>
          <w:szCs w:val="21"/>
          <w:highlight w:val="none"/>
        </w:rPr>
        <w:t>11.1.1施工过程中，承包人应向工程师指定的代表呈递一份每日的日进度报表、每周的周进度报表和每月的月进度报表。除非工程师同意，日进度报表应在次日上午九点前提交，周进度报表应在次周的周一上午9时前提交，月进度报表应随进度付款申请单一并提交。</w:t>
      </w:r>
    </w:p>
    <w:p>
      <w:pPr>
        <w:spacing w:line="360" w:lineRule="auto"/>
        <w:ind w:firstLine="478" w:firstLineChars="228"/>
        <w:jc w:val="left"/>
        <w:rPr>
          <w:rFonts w:ascii="宋体" w:hAnsi="宋体"/>
          <w:color w:val="auto"/>
          <w:szCs w:val="21"/>
          <w:highlight w:val="none"/>
        </w:rPr>
      </w:pPr>
      <w:r>
        <w:rPr>
          <w:rFonts w:hint="eastAsia" w:ascii="宋体" w:hAnsi="宋体"/>
          <w:color w:val="auto"/>
          <w:szCs w:val="21"/>
          <w:highlight w:val="none"/>
        </w:rPr>
        <w:t>11.1.2日和周进度报表的内容应至少包括每日在现场工作的技术管理人员数量、各工种技术工人和非技术工人数量、后勤人员数量、参观现场的人员数量，包括分包人人员数量；还应包括所使用的各种主要机械设备和车辆的型号、数量和台班，工作的区段，以及工程进度情况、天气情况记录、停工、质量和安全事故等特别事项说明；此外，应附上每日进场材料、物品或设备的分类汇总表、用于次日或次周的工程进度计划等。</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11.1.3月进度报表应当反映月完成工程量和累计完成工程量(包括永久工程和临时工程)、材料实际进货、消耗和库存量、现场施工设备的投运数量和运行状况、工程设备的到货情况、劳动力数量(本月及预计未来3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实施和文明施工措施实施情况。</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11.1.4 进度报告还应附有一组充分显示工程形象进度的定点摄影照片。照片应当在经工程师批准的不同位置定期拍摄，每张照片都应标上相应的拍摄日期和简要文字说明，且应用经发包人和工程师批准的标准或格式装裱后呈交。</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11.1.5 各个进度报表的格式和内容应经过工程师的审批。进度报表应如实填写，由承包人授权代表签名，并报工程师的指定代表签名确认后再行分发。</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11.1.6如果工程师认为必要，进度报告和进度照片应同时以存储在磁盘或光盘中的数据文件的形式提交给发包人和工程师。数据文件采用的应用软件及其版本应经过工程师的审批。</w:t>
      </w:r>
    </w:p>
    <w:p>
      <w:pPr>
        <w:spacing w:line="360" w:lineRule="auto"/>
        <w:ind w:left="1004" w:leftChars="228" w:hanging="525" w:hangingChars="250"/>
        <w:jc w:val="left"/>
        <w:rPr>
          <w:rFonts w:ascii="宋体" w:hAnsi="宋体"/>
          <w:color w:val="auto"/>
          <w:szCs w:val="21"/>
          <w:highlight w:val="none"/>
        </w:rPr>
      </w:pPr>
      <w:r>
        <w:rPr>
          <w:rFonts w:hint="eastAsia" w:ascii="宋体" w:hAnsi="宋体"/>
          <w:color w:val="auto"/>
          <w:szCs w:val="21"/>
          <w:highlight w:val="none"/>
        </w:rPr>
        <w:t>11.1.7有关进度报告的其他要求：</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left="945" w:leftChars="200" w:hanging="525" w:hangingChars="250"/>
        <w:jc w:val="left"/>
        <w:rPr>
          <w:rFonts w:ascii="宋体" w:hAnsi="宋体"/>
          <w:color w:val="auto"/>
          <w:szCs w:val="21"/>
          <w:highlight w:val="none"/>
        </w:rPr>
      </w:pPr>
      <w:r>
        <w:rPr>
          <w:rFonts w:hint="eastAsia" w:ascii="宋体" w:hAnsi="宋体"/>
          <w:color w:val="auto"/>
          <w:szCs w:val="21"/>
          <w:highlight w:val="none"/>
        </w:rPr>
        <w:t>11.2 进度例会</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11.2.1工程师将主持召开有发包人、承包人、分包人等与本工程建设有关各方出席的每周一次的进度例会。必要时，工程师可随时召集所有上述各方或其中部分单位参加的会议。承包人应保证能代表其当场作出决定的高级管理人员出席会议。</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11.2.2进度例会的内容将涉及合同管理、进度协调和工程管理的各个方面，由工程师准备的会议议题将随会议通知在会议召开前至少24小时发给各参会方。</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11.2.3工程师应当做好会议记录，并在会议结束时由与会各方签字确认。工程师应根据会议记录整理出会议纪要，并在相应会议后24小时内分发给出席会议的各方。会议纪要应当如实反映会议记录的内容，包括任何决定、存在的问题、责任方、有关工作的时间目标等。各方在收到会议纪要后24小时内给予签字确认，如有任何异议，应将有关异议以书面形式通知工程师，由工程师与有异议一方或各方共同核对会议记录，有异议的一方或者各方对与会议记录内容一致的会议纪要必须给予签字确认，否则工程师可以用会议记录作为会议纪要。经参会各方签字认可的会议纪要对各方有合同约束力。</w:t>
      </w:r>
    </w:p>
    <w:p>
      <w:pPr>
        <w:spacing w:line="360" w:lineRule="auto"/>
        <w:ind w:left="1004" w:leftChars="228" w:hanging="525" w:hangingChars="250"/>
        <w:jc w:val="left"/>
        <w:rPr>
          <w:rFonts w:ascii="宋体" w:hAnsi="宋体"/>
          <w:color w:val="auto"/>
          <w:szCs w:val="21"/>
          <w:highlight w:val="none"/>
        </w:rPr>
      </w:pPr>
      <w:r>
        <w:rPr>
          <w:rFonts w:hint="eastAsia" w:ascii="宋体" w:hAnsi="宋体"/>
          <w:color w:val="auto"/>
          <w:szCs w:val="21"/>
          <w:highlight w:val="none"/>
        </w:rPr>
        <w:t>11.2.4有关进度例会的其他要求：</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left="945" w:hanging="945" w:hangingChars="450"/>
        <w:jc w:val="left"/>
        <w:outlineLvl w:val="2"/>
        <w:rPr>
          <w:rFonts w:ascii="宋体" w:hAnsi="宋体"/>
          <w:color w:val="auto"/>
          <w:szCs w:val="21"/>
          <w:highlight w:val="none"/>
        </w:rPr>
      </w:pPr>
      <w:bookmarkStart w:id="201" w:name="_Toc364679619"/>
      <w:bookmarkStart w:id="202" w:name="_Toc440870122"/>
      <w:bookmarkStart w:id="203" w:name="_Toc440869869"/>
      <w:bookmarkStart w:id="204" w:name="_Toc364682231"/>
      <w:r>
        <w:rPr>
          <w:rFonts w:hint="eastAsia" w:ascii="宋体" w:hAnsi="宋体"/>
          <w:color w:val="auto"/>
          <w:szCs w:val="21"/>
          <w:highlight w:val="none"/>
        </w:rPr>
        <w:t>12.试验和检验</w:t>
      </w:r>
      <w:bookmarkEnd w:id="201"/>
      <w:bookmarkEnd w:id="202"/>
      <w:bookmarkEnd w:id="203"/>
      <w:bookmarkEnd w:id="204"/>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12.1 承包人应当按照工程施工验收规范和标准的规定和合同通用条款的约定，对用于永久工程的主要材料、半成品、成品、建筑构配件、工程设备等进行试验和检验。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12.2 本工程需要承包人进行试验和检验的材料、工程设备和工艺如下：</w:t>
      </w:r>
      <w:r>
        <w:rPr>
          <w:rFonts w:hint="eastAsia" w:ascii="宋体" w:hAnsi="宋体"/>
          <w:color w:val="auto"/>
          <w:szCs w:val="21"/>
          <w:highlight w:val="none"/>
          <w:u w:val="single"/>
        </w:rPr>
        <w:t xml:space="preserve"> 按相关规定执行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工程师可以根据工程需要，指示承包人进行其他现场材料和工艺的试验和检验。</w:t>
      </w:r>
    </w:p>
    <w:p>
      <w:pPr>
        <w:spacing w:line="360" w:lineRule="auto"/>
        <w:ind w:firstLine="420" w:firstLineChars="200"/>
        <w:jc w:val="left"/>
        <w:rPr>
          <w:rFonts w:ascii="宋体" w:hAnsi="宋体"/>
          <w:color w:val="auto"/>
          <w:spacing w:val="4"/>
          <w:szCs w:val="21"/>
          <w:highlight w:val="none"/>
        </w:rPr>
      </w:pPr>
      <w:r>
        <w:rPr>
          <w:rFonts w:hint="eastAsia" w:ascii="宋体" w:hAnsi="宋体"/>
          <w:color w:val="auto"/>
          <w:szCs w:val="21"/>
          <w:highlight w:val="none"/>
        </w:rPr>
        <w:t xml:space="preserve">12.3 </w:t>
      </w:r>
      <w:r>
        <w:rPr>
          <w:rFonts w:hint="eastAsia" w:ascii="宋体" w:hAnsi="宋体"/>
          <w:color w:val="auto"/>
          <w:spacing w:val="4"/>
          <w:szCs w:val="21"/>
          <w:highlight w:val="none"/>
        </w:rPr>
        <w:t>本工程需要由工程师和承包人共同进行试验和检验的材料、工程设备和工艺如</w:t>
      </w:r>
    </w:p>
    <w:p>
      <w:pPr>
        <w:spacing w:line="360" w:lineRule="auto"/>
        <w:ind w:firstLine="436" w:firstLineChars="200"/>
        <w:jc w:val="left"/>
        <w:rPr>
          <w:rFonts w:ascii="宋体" w:hAnsi="宋体"/>
          <w:color w:val="auto"/>
          <w:szCs w:val="21"/>
          <w:highlight w:val="none"/>
        </w:rPr>
      </w:pPr>
      <w:r>
        <w:rPr>
          <w:rFonts w:hint="eastAsia" w:ascii="宋体" w:hAnsi="宋体"/>
          <w:color w:val="auto"/>
          <w:spacing w:val="4"/>
          <w:szCs w:val="21"/>
          <w:highlight w:val="none"/>
        </w:rPr>
        <w:t>下：</w:t>
      </w:r>
      <w:r>
        <w:rPr>
          <w:rFonts w:hint="eastAsia" w:ascii="宋体" w:hAnsi="宋体"/>
          <w:color w:val="auto"/>
          <w:szCs w:val="21"/>
          <w:highlight w:val="none"/>
          <w:u w:val="single"/>
        </w:rPr>
        <w:t xml:space="preserve"> 按监理人指示执行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12.4 本条上述约定需要进行检验的材料、工程设备和工艺在经过检验并获得工程师批准以前，不得用于任何永久工程。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12.5 承包人应为任何材料、工程设备和工艺的检查、检测和检验提供劳务、电力、燃料、备用品、设备和仪器以及必要的协助。工程师及其任何授权人员应能够在任何时候进入现场及正在为工程制造、装配、准备材料和(或)工程设备的车间和场所进行任何必要的检查。无论这些车间和场所是否属于承包人，承包人都应提供一切便利，并协助其取得相应的权力和(或)许可。</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12.6 如果检查、检测、检验或试验的结果表明，材料、工程设备和工艺有缺陷或不符合合同约定，工程师和发包人可拒收此类材料、工程设备和工艺，并应立即通知承包人同时说明理由。承包人应立即修复上述缺陷并保证其符合合同约定。若工程师或发包人要求对此类材料、工程设备、工艺重新进行检验，则此类检验应按相同条款和条件重新进行。如果此类拒收和重新检验致使发包人产生了额外费用，则此类费用应由承包人支付给发包人，或从发包人应支付给承包人的款项中扣除。</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12.7 承包人应在工程师的监督下，对涉及结构安全的试块、试件以及有关材料进行现场取样，并送</w:t>
      </w:r>
      <w:r>
        <w:rPr>
          <w:rFonts w:hint="eastAsia" w:ascii="宋体" w:hAnsi="宋体"/>
          <w:color w:val="auto"/>
          <w:szCs w:val="21"/>
          <w:highlight w:val="none"/>
          <w:u w:val="single"/>
        </w:rPr>
        <w:t xml:space="preserve"> 甲方指定的 </w:t>
      </w:r>
      <w:r>
        <w:rPr>
          <w:rFonts w:hint="eastAsia" w:ascii="宋体" w:hAnsi="宋体"/>
          <w:color w:val="auto"/>
          <w:szCs w:val="21"/>
          <w:highlight w:val="none"/>
        </w:rPr>
        <w:t>质量检测单位进行检测。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12.8 除合同另有约定外，承包人应负担本合同项下的所有材料、工程设备和工艺检验的费用。依据本市建设工程检测管理办法应当由发包人承担的检测费用不在此工程项目清单中。</w:t>
      </w:r>
    </w:p>
    <w:p>
      <w:pPr>
        <w:spacing w:line="360" w:lineRule="auto"/>
        <w:jc w:val="left"/>
        <w:outlineLvl w:val="2"/>
        <w:rPr>
          <w:rFonts w:ascii="宋体" w:hAnsi="宋体"/>
          <w:color w:val="auto"/>
          <w:szCs w:val="21"/>
          <w:highlight w:val="none"/>
        </w:rPr>
      </w:pPr>
      <w:bookmarkStart w:id="205" w:name="_Toc364679620"/>
      <w:bookmarkStart w:id="206" w:name="_Toc440869870"/>
      <w:bookmarkStart w:id="207" w:name="_Toc364682232"/>
      <w:bookmarkStart w:id="208" w:name="_Toc440870123"/>
      <w:r>
        <w:rPr>
          <w:rFonts w:hint="eastAsia" w:ascii="宋体" w:hAnsi="宋体"/>
          <w:color w:val="auto"/>
          <w:szCs w:val="21"/>
          <w:highlight w:val="none"/>
        </w:rPr>
        <w:t>13.计日工</w:t>
      </w:r>
      <w:bookmarkEnd w:id="205"/>
      <w:bookmarkEnd w:id="206"/>
      <w:bookmarkEnd w:id="207"/>
      <w:bookmarkEnd w:id="208"/>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13.1计日工，一般适用于合同约定之外的或者因变更而产生的、工程量清单中没有设立相应子目或者即便有相应子目但因工作条件发生变化而无法适用的额外工作，尤其是那些时间不允许事先商定价格的额外工作。计日工在发包人认为必要时，由工程师通知承包人实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13.2 在工程实际开工后14天内，承包人应当按计日工报表内容，准备一份计日工日报表的格式，报送工程师审批，工程师应当在收到之日后7天内给予批复或提出修改意见。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13.3 按计日工实施相关变更的过程中，承包人应当按经工程师批准的计日工日报表格式，每天提交计日工报表和有关凭证，报送工程师审批，工程师应当在收到相关报表和凭证后24小时内给予批复。</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13.4 计日工劳务按工日(8小时)计量，单次4小时以内按0.5个工日，单次4小时至8小时按1个工日，加班时间按照国家劳动法律法规的规定办理。实施计日工的劳务人员仅应包括直接从事计日工工作的工人和班组长(如果有)，不应包括工长及其以上管理人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13.5 已标价工程量清单计日工材料表中未列出的材料，实际发生于计日工时，其价格按照经工程师事先审批的材料运到现场的价格和有关材料采购的发票票面价格(运到现价)中的较低者结算，另计一个在计日工材料表中填写的包括承包人企业管理费、利润在内的一个固定百分比，规费和增值税另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13.6 施工机械按台班计量(8小时)，单次4小时以内按0.5个台班，单次4小时至8小时按1个台班，操作人员加班时间按照国家劳动法律法规的规定办理。计日工如果需要使用场外施工机械，台班费用和进出场费用按市场平均价格，由承包人事后报工程师审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13.7 关于计日工的其他约定：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left="945" w:hanging="945" w:hangingChars="450"/>
        <w:jc w:val="left"/>
        <w:outlineLvl w:val="2"/>
        <w:rPr>
          <w:rFonts w:ascii="宋体" w:hAnsi="宋体"/>
          <w:color w:val="auto"/>
          <w:szCs w:val="21"/>
          <w:highlight w:val="none"/>
        </w:rPr>
      </w:pPr>
      <w:bookmarkStart w:id="209" w:name="_Toc440870124"/>
      <w:bookmarkStart w:id="210" w:name="_Toc364679621"/>
      <w:bookmarkStart w:id="211" w:name="_Toc364682233"/>
      <w:bookmarkStart w:id="212" w:name="_Toc440869871"/>
      <w:r>
        <w:rPr>
          <w:rFonts w:hint="eastAsia" w:ascii="宋体" w:hAnsi="宋体"/>
          <w:color w:val="auto"/>
          <w:szCs w:val="21"/>
          <w:highlight w:val="none"/>
        </w:rPr>
        <w:t>14.计量与支付</w:t>
      </w:r>
      <w:bookmarkEnd w:id="209"/>
      <w:bookmarkEnd w:id="210"/>
      <w:bookmarkEnd w:id="211"/>
      <w:bookmarkEnd w:id="212"/>
    </w:p>
    <w:p>
      <w:pPr>
        <w:spacing w:line="360" w:lineRule="auto"/>
        <w:ind w:left="945" w:hanging="945" w:hangingChars="450"/>
        <w:jc w:val="left"/>
        <w:rPr>
          <w:rFonts w:ascii="宋体" w:hAnsi="宋体"/>
          <w:color w:val="auto"/>
          <w:szCs w:val="21"/>
          <w:highlight w:val="none"/>
        </w:rPr>
      </w:pPr>
      <w:r>
        <w:rPr>
          <w:rFonts w:hint="eastAsia" w:ascii="宋体" w:hAnsi="宋体"/>
          <w:color w:val="auto"/>
          <w:szCs w:val="21"/>
          <w:highlight w:val="none"/>
        </w:rPr>
        <w:t>14.1 付款申请单</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14.1.1在工程实际开工后14天内，承包人应当准备一份已完工程量报表、进度付款申请单和计量文件的格式等报送工程师，工程师应当在收到承包人报送的格式后7天内给予批复或者提出修改意见。</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14.1.2承包人应当在合同约定的每个付款周期末，对当期完成的各项工程量进行计量和计价，对当期应增加和扣减的各类款项进行梳理和汇总，按经工程师批准的格式、份数和内容准备并向工程师提交进度付款申请单，并将进度付款申请单连同已完工程量报表、有关计量资料以及能够证明其进度付款申请单中所索要款项符合合同约定的所有支持性文件同时报送工程师审批。</w:t>
      </w:r>
    </w:p>
    <w:p>
      <w:pPr>
        <w:spacing w:line="360" w:lineRule="auto"/>
        <w:ind w:firstLine="478" w:firstLineChars="228"/>
        <w:jc w:val="left"/>
        <w:rPr>
          <w:rFonts w:ascii="宋体" w:hAnsi="宋体"/>
          <w:color w:val="auto"/>
          <w:szCs w:val="21"/>
          <w:highlight w:val="none"/>
        </w:rPr>
      </w:pPr>
      <w:r>
        <w:rPr>
          <w:rFonts w:hint="eastAsia" w:ascii="宋体" w:hAnsi="宋体"/>
          <w:color w:val="auto"/>
          <w:szCs w:val="21"/>
          <w:highlight w:val="none"/>
        </w:rPr>
        <w:t>14.1.3采用单价合同形式的，竣工付款申请单应当附上结算工程量和最近一次进度付款和竣工付款之间完成的各子目的工程量计量文件。采用总价合同形式的，签约合同价所基于的工程量就是相应的竣工结算工程量，但是，变更应按合同约定进行计量和计价。</w:t>
      </w:r>
    </w:p>
    <w:p>
      <w:pPr>
        <w:spacing w:line="360" w:lineRule="auto"/>
        <w:ind w:left="1004" w:leftChars="228" w:hanging="525" w:hangingChars="250"/>
        <w:jc w:val="left"/>
        <w:rPr>
          <w:rFonts w:ascii="宋体" w:hAnsi="宋体"/>
          <w:color w:val="auto"/>
          <w:szCs w:val="21"/>
          <w:highlight w:val="none"/>
        </w:rPr>
      </w:pPr>
      <w:r>
        <w:rPr>
          <w:rFonts w:hint="eastAsia" w:ascii="宋体" w:hAnsi="宋体"/>
          <w:color w:val="auto"/>
          <w:szCs w:val="21"/>
          <w:highlight w:val="none"/>
        </w:rPr>
        <w:t>14.1.4竣工结算总价(合同价格)应当按以下内容梳理：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(1)签约合同价；</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(2)应当扣减的项目；</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1)所有暂列金额；</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2)所有暂估价；</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3)应扣减的变更金额；</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4)应扣减的价格调整(下调部分)；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5)应扣减的发包人索赔金额；</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6)甩项工程的合同价值(如果有)；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7)根据合同约定发包人应扣减的其他金额。</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(3)应当增加的项目；</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1)实际发生的暂列金额；</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2)实际发生的暂估价；</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3)应增加的变更金额；</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4)应增加的价格调整(上调部分)；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5)应增加的承包人索赔金额；</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6)根据合同约定承包人应当得到的其他金额。</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(4)规费和增值税差额部分。</w:t>
      </w:r>
    </w:p>
    <w:p>
      <w:pPr>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14.1.5最终结清申请单的应付金额应当按下列内容梳理：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(1)约定扣留的质量保证金；</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(2)应当扣除的金额：</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1)约定扣留的质量保证金；</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2)约定扣除的质量保证金；</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3)应扣减的缺陷责任期内发生的发包人索赔金额；</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4)约定应扣减的其他金额。</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(3)应当增加的金额：</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1)已完且符合合同约定的甩项工程的价值；</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2)约定由承包人修复的发包人原因造成的缺陷的价值；</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3)应增加的缺陷责任期内发生的承包人索赔金额；</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4)约定承包人应当得到的其他金额。</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最终结清应当由发包人和承包人按照“多退少补”的原则办理。</w:t>
      </w:r>
      <w:r>
        <w:rPr>
          <w:rFonts w:ascii="宋体" w:hAnsi="宋体"/>
          <w:color w:val="auto"/>
          <w:szCs w:val="21"/>
          <w:highlight w:val="none"/>
        </w:rPr>
        <w:t>政府投资和以政府投资为主的建设项目，按照国家和本市规定应当经审计机关审计</w:t>
      </w:r>
      <w:r>
        <w:rPr>
          <w:rFonts w:hint="eastAsia" w:ascii="宋体" w:hAnsi="宋体"/>
          <w:color w:val="auto"/>
          <w:szCs w:val="21"/>
          <w:highlight w:val="none"/>
        </w:rPr>
        <w:t>。</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14.1.6 竣工付款申请单和最终结清申请单应当比照进度付款申请单的格式准备，并提供相关证明材料。</w:t>
      </w:r>
    </w:p>
    <w:p>
      <w:pPr>
        <w:spacing w:line="360" w:lineRule="auto"/>
        <w:jc w:val="left"/>
        <w:rPr>
          <w:rFonts w:ascii="宋体" w:hAnsi="宋体"/>
          <w:color w:val="auto"/>
          <w:szCs w:val="21"/>
          <w:highlight w:val="none"/>
        </w:rPr>
      </w:pPr>
      <w:r>
        <w:rPr>
          <w:rFonts w:hint="eastAsia" w:ascii="宋体" w:hAnsi="宋体"/>
          <w:color w:val="auto"/>
          <w:szCs w:val="21"/>
          <w:highlight w:val="none"/>
        </w:rPr>
        <w:t>14.2其他约定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其他约定内容：</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jc w:val="left"/>
        <w:outlineLvl w:val="2"/>
        <w:rPr>
          <w:rFonts w:ascii="宋体" w:hAnsi="宋体"/>
          <w:color w:val="auto"/>
          <w:szCs w:val="21"/>
          <w:highlight w:val="none"/>
        </w:rPr>
      </w:pPr>
      <w:bookmarkStart w:id="213" w:name="_Toc440869872"/>
      <w:bookmarkStart w:id="214" w:name="_Toc364682234"/>
      <w:bookmarkStart w:id="215" w:name="_Toc364679622"/>
      <w:bookmarkStart w:id="216" w:name="_Toc440870125"/>
      <w:r>
        <w:rPr>
          <w:rFonts w:hint="eastAsia" w:ascii="宋体" w:hAnsi="宋体"/>
          <w:color w:val="auto"/>
          <w:szCs w:val="21"/>
          <w:highlight w:val="none"/>
        </w:rPr>
        <w:t>15.竣工验收和工程移交</w:t>
      </w:r>
      <w:bookmarkEnd w:id="213"/>
      <w:bookmarkEnd w:id="214"/>
      <w:bookmarkEnd w:id="215"/>
      <w:bookmarkEnd w:id="216"/>
    </w:p>
    <w:p>
      <w:pPr>
        <w:spacing w:line="360" w:lineRule="auto"/>
        <w:jc w:val="left"/>
        <w:rPr>
          <w:rFonts w:ascii="宋体" w:hAnsi="宋体"/>
          <w:color w:val="auto"/>
          <w:szCs w:val="21"/>
          <w:highlight w:val="none"/>
        </w:rPr>
      </w:pPr>
      <w:r>
        <w:rPr>
          <w:rFonts w:hint="eastAsia" w:ascii="宋体" w:hAnsi="宋体"/>
          <w:color w:val="auto"/>
          <w:szCs w:val="21"/>
          <w:highlight w:val="none"/>
        </w:rPr>
        <w:t>15.1竣工验收前的清理</w:t>
      </w:r>
    </w:p>
    <w:p>
      <w:pPr>
        <w:spacing w:line="360" w:lineRule="auto"/>
        <w:ind w:firstLine="479"/>
        <w:jc w:val="left"/>
        <w:rPr>
          <w:rFonts w:ascii="宋体" w:hAnsi="宋体"/>
          <w:color w:val="auto"/>
          <w:szCs w:val="21"/>
          <w:highlight w:val="none"/>
        </w:rPr>
      </w:pPr>
      <w:r>
        <w:rPr>
          <w:rFonts w:hint="eastAsia" w:ascii="宋体" w:hAnsi="宋体"/>
          <w:color w:val="auto"/>
          <w:szCs w:val="21"/>
          <w:highlight w:val="none"/>
        </w:rPr>
        <w:t>15.1.1在向工程师提交竣工验收申请报告前，承包人应当完成竣工验收前的清理工作，包括但不限于：</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(1)从永久工程内清除所有剩余材料、杂物、垃圾等；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(2)清洗工程的所有地面、墙面、楼面、路面等表面；</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(3)清洗和擦洗所有玻璃、磁砖、石材和所有金属面；</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(4)修缮所有损坏、清除所有污迹、替换所有需更换的材料；</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(5)所有表面完成约定的装修和装饰；</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(6)检查和调试所有的门、窗、抽屉等以确保它们开启的顺畅；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(7)检查和调试所有的五金件并上油；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(8)检查、测试和确保所有服务系统、设施和设备达到良好的运行状态和效果；</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(9)所有钥匙(如果有)贴上标签并固定到钥匙排上随时可以交给工程师。</w:t>
      </w:r>
    </w:p>
    <w:p>
      <w:pPr>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15.1.2清理工作所需费用由承包人承担。</w:t>
      </w:r>
    </w:p>
    <w:p>
      <w:pPr>
        <w:spacing w:before="60" w:beforeLines="25" w:after="48" w:afterLines="20" w:line="360" w:lineRule="auto"/>
        <w:jc w:val="left"/>
        <w:rPr>
          <w:rFonts w:ascii="宋体" w:hAnsi="宋体"/>
          <w:color w:val="auto"/>
          <w:szCs w:val="21"/>
          <w:highlight w:val="none"/>
        </w:rPr>
      </w:pPr>
      <w:r>
        <w:rPr>
          <w:rFonts w:hint="eastAsia" w:ascii="宋体" w:hAnsi="宋体"/>
          <w:color w:val="auto"/>
          <w:szCs w:val="21"/>
          <w:highlight w:val="none"/>
        </w:rPr>
        <w:t>15.2 竣工验收申请报告</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15.2.1竣工验收申请报告，也称竣工验收报告，是承包人完成合同约定的工作内容后，按照国家有关施工质量验收标准的规定，经其自行检查，证明已经完成合同工作内容并符合合同约定，达到竣工验收标准，而向工程师或发包人提交的请求发包人组织进行合同工程竣工验收的一份书面申请函，合同约定的竣工验收资料和其他文件一般作为竣工验收申请报告的附件，是竣工验收申请报告的组成部分。</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15.2.2竣工验收申请报告一般应当包括工程概况说明，承包范围，分包工程情况，主要材料、设备供应情况，采用的主要施工方法，新材料、新技术和新工艺采用情况，自检质量情况等的说明。竣工验收申请报告的格式和应当包括的内容应事先经过工程师的审批。</w:t>
      </w:r>
    </w:p>
    <w:p>
      <w:pPr>
        <w:spacing w:line="360" w:lineRule="auto"/>
        <w:ind w:left="1004" w:leftChars="228" w:hanging="525" w:hangingChars="250"/>
        <w:jc w:val="left"/>
        <w:rPr>
          <w:rFonts w:ascii="宋体" w:hAnsi="宋体"/>
          <w:color w:val="auto"/>
          <w:szCs w:val="21"/>
          <w:highlight w:val="none"/>
        </w:rPr>
      </w:pPr>
      <w:r>
        <w:rPr>
          <w:rFonts w:hint="eastAsia" w:ascii="宋体" w:hAnsi="宋体"/>
          <w:color w:val="auto"/>
          <w:szCs w:val="21"/>
          <w:highlight w:val="none"/>
        </w:rPr>
        <w:t>15.2.3竣工验收申请报告应附下列内容：</w:t>
      </w:r>
    </w:p>
    <w:p>
      <w:pPr>
        <w:spacing w:line="360" w:lineRule="auto"/>
        <w:ind w:firstLine="420" w:firstLineChars="200"/>
        <w:jc w:val="left"/>
        <w:rPr>
          <w:rFonts w:ascii="宋体" w:hAnsi="宋体"/>
          <w:color w:val="auto"/>
          <w:spacing w:val="10"/>
          <w:szCs w:val="21"/>
          <w:highlight w:val="none"/>
        </w:rPr>
      </w:pPr>
      <w:r>
        <w:rPr>
          <w:rFonts w:hint="eastAsia" w:ascii="宋体" w:hAnsi="宋体"/>
          <w:color w:val="auto"/>
          <w:szCs w:val="21"/>
          <w:highlight w:val="none"/>
        </w:rPr>
        <w:t>(1)</w:t>
      </w:r>
      <w:r>
        <w:rPr>
          <w:rFonts w:hint="eastAsia" w:ascii="宋体" w:hAnsi="宋体"/>
          <w:color w:val="auto"/>
          <w:spacing w:val="10"/>
          <w:szCs w:val="21"/>
          <w:highlight w:val="none"/>
        </w:rPr>
        <w:t>承包人的自行检查和评定记录文件，即除工程师同意列入缺陷责任期内完成的尾工(甩项)工程和缺陷修补工作外，合同范围内的全部单位工程以及有关工作，包括合同要求的试验、试运行以及检验和验收均已完成，并符合合同要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（2）按合同约定的内容和份数整理的符合要求的竣工资料；</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（3）按工程师的要求编制了在缺陷责任期内完成的尾工(甩项)工程和缺陷修补工作清单以及相应施工计划；</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（4）工程师要求在竣工验收前应完成的其他工作的证明材料；</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（5）工程师要求提交的竣工验收资料清单；</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（6）单位工程竣工验收成果和结论文件(如果有)；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（7）质量保修书(此前已经提交的不再提交)；</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（8）其他：</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jc w:val="left"/>
        <w:rPr>
          <w:rFonts w:ascii="宋体" w:hAnsi="宋体"/>
          <w:color w:val="auto"/>
          <w:szCs w:val="21"/>
          <w:highlight w:val="none"/>
        </w:rPr>
      </w:pPr>
      <w:r>
        <w:rPr>
          <w:rFonts w:hint="eastAsia" w:ascii="宋体" w:hAnsi="宋体"/>
          <w:color w:val="auto"/>
          <w:szCs w:val="21"/>
          <w:highlight w:val="none"/>
        </w:rPr>
        <w:t>15.3 竣工清场</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15.3.1工程师颁发(出具)工程接收证书后，承包人应在56天内按以下要求对现场进行清理：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(1)从现场清除所有杂物和垃圾等；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(2)从现场拆除所有的临时工程和临时设施并恢复地面原状，但经工程师批准的护坡桩、锚杆、塔吊基础和无法拆除的埋入式模板等无法拆除的临时设施除外；</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(3)撤离所有承包人施工设备和剩余材料(经工程师同意需在缺陷责任期内继续使用的除外)；</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(4)工程师指示的其他清场工作。</w:t>
      </w:r>
    </w:p>
    <w:p>
      <w:pPr>
        <w:spacing w:line="360" w:lineRule="auto"/>
        <w:outlineLvl w:val="2"/>
        <w:rPr>
          <w:rFonts w:hint="eastAsia" w:ascii="宋体" w:hAnsi="宋体"/>
          <w:color w:val="auto"/>
          <w:szCs w:val="21"/>
          <w:highlight w:val="none"/>
        </w:rPr>
      </w:pPr>
      <w:bookmarkStart w:id="217" w:name="_Toc440869873"/>
      <w:bookmarkStart w:id="218" w:name="_Toc364682235"/>
      <w:bookmarkStart w:id="219" w:name="_Toc440870126"/>
      <w:bookmarkStart w:id="220" w:name="_Toc364679623"/>
      <w:r>
        <w:rPr>
          <w:rFonts w:hint="eastAsia" w:ascii="宋体" w:hAnsi="宋体"/>
          <w:color w:val="auto"/>
          <w:szCs w:val="21"/>
          <w:highlight w:val="none"/>
        </w:rPr>
        <w:t>16.其他要求</w:t>
      </w:r>
      <w:bookmarkEnd w:id="217"/>
      <w:bookmarkEnd w:id="218"/>
      <w:bookmarkEnd w:id="219"/>
      <w:bookmarkEnd w:id="220"/>
    </w:p>
    <w:p>
      <w:pPr>
        <w:snapToGrid w:val="0"/>
        <w:spacing w:line="360" w:lineRule="auto"/>
        <w:ind w:firstLine="426" w:firstLineChars="202"/>
        <w:rPr>
          <w:rFonts w:hint="eastAsia" w:ascii="宋体" w:hAnsi="宋体"/>
          <w:b/>
          <w:bCs/>
          <w:color w:val="auto"/>
          <w:szCs w:val="21"/>
          <w:highlight w:val="none"/>
        </w:rPr>
      </w:pP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1</w:t>
      </w:r>
      <w:r>
        <w:rPr>
          <w:rFonts w:hint="eastAsia" w:ascii="宋体" w:hAnsi="宋体"/>
          <w:b/>
          <w:bCs/>
          <w:color w:val="auto"/>
          <w:szCs w:val="21"/>
          <w:highlight w:val="none"/>
          <w:lang w:eastAsia="zh-CN"/>
        </w:rPr>
        <w:t>）</w:t>
      </w:r>
      <w:r>
        <w:rPr>
          <w:rFonts w:hint="eastAsia" w:ascii="宋体" w:hAnsi="宋体"/>
          <w:b/>
          <w:bCs/>
          <w:color w:val="auto"/>
          <w:szCs w:val="21"/>
          <w:highlight w:val="none"/>
        </w:rPr>
        <w:t>消防报警设备品牌：西门子、诺帝菲尔，爱德华或同档次</w:t>
      </w:r>
      <w:r>
        <w:rPr>
          <w:rFonts w:hint="eastAsia" w:ascii="宋体" w:hAnsi="宋体"/>
          <w:b/>
          <w:bCs/>
          <w:color w:val="auto"/>
          <w:szCs w:val="21"/>
          <w:highlight w:val="none"/>
          <w:lang w:eastAsia="zh-CN"/>
        </w:rPr>
        <w:t>，</w:t>
      </w:r>
      <w:r>
        <w:rPr>
          <w:rFonts w:hint="eastAsia" w:ascii="宋体" w:hAnsi="宋体"/>
          <w:b/>
          <w:bCs/>
          <w:color w:val="auto"/>
          <w:szCs w:val="21"/>
          <w:highlight w:val="none"/>
        </w:rPr>
        <w:t>如若</w:t>
      </w:r>
      <w:r>
        <w:rPr>
          <w:rFonts w:hint="eastAsia" w:ascii="宋体" w:hAnsi="宋体"/>
          <w:b/>
          <w:bCs/>
          <w:color w:val="auto"/>
          <w:szCs w:val="21"/>
          <w:highlight w:val="none"/>
          <w:lang w:val="en-US" w:eastAsia="zh-CN"/>
        </w:rPr>
        <w:t>投标人投标</w:t>
      </w:r>
      <w:r>
        <w:rPr>
          <w:rFonts w:hint="eastAsia" w:ascii="宋体" w:hAnsi="宋体"/>
          <w:b/>
          <w:bCs/>
          <w:color w:val="auto"/>
          <w:szCs w:val="21"/>
          <w:highlight w:val="none"/>
        </w:rPr>
        <w:t>文件所提供设备参数达不到</w:t>
      </w:r>
      <w:r>
        <w:rPr>
          <w:rFonts w:hint="eastAsia" w:ascii="宋体" w:hAnsi="宋体"/>
          <w:b/>
          <w:bCs/>
          <w:color w:val="auto"/>
          <w:szCs w:val="21"/>
          <w:highlight w:val="none"/>
          <w:lang w:val="en-US" w:eastAsia="zh-CN"/>
        </w:rPr>
        <w:t>采购人</w:t>
      </w:r>
      <w:r>
        <w:rPr>
          <w:rFonts w:hint="eastAsia" w:ascii="宋体" w:hAnsi="宋体"/>
          <w:b/>
          <w:bCs/>
          <w:color w:val="auto"/>
          <w:szCs w:val="21"/>
          <w:highlight w:val="none"/>
        </w:rPr>
        <w:t>所供参考类似品牌的要求，</w:t>
      </w:r>
      <w:r>
        <w:rPr>
          <w:rFonts w:hint="eastAsia" w:ascii="宋体" w:hAnsi="宋体"/>
          <w:b/>
          <w:bCs/>
          <w:color w:val="auto"/>
          <w:szCs w:val="21"/>
          <w:highlight w:val="none"/>
          <w:lang w:val="en-US" w:eastAsia="zh-CN"/>
        </w:rPr>
        <w:t>采购人</w:t>
      </w:r>
      <w:r>
        <w:rPr>
          <w:rFonts w:hint="eastAsia" w:ascii="宋体" w:hAnsi="宋体"/>
          <w:b/>
          <w:bCs/>
          <w:color w:val="auto"/>
          <w:szCs w:val="21"/>
          <w:highlight w:val="none"/>
        </w:rPr>
        <w:t>有权从所供参考类似品牌中任选其一；</w:t>
      </w:r>
    </w:p>
    <w:p>
      <w:pPr>
        <w:snapToGrid w:val="0"/>
        <w:spacing w:line="360" w:lineRule="auto"/>
        <w:ind w:firstLine="426" w:firstLineChars="202"/>
        <w:rPr>
          <w:rFonts w:hint="eastAsia" w:ascii="宋体" w:hAnsi="宋体" w:eastAsia="宋体"/>
          <w:b/>
          <w:bCs/>
          <w:color w:val="auto"/>
          <w:szCs w:val="21"/>
          <w:highlight w:val="none"/>
          <w:lang w:eastAsia="zh-CN"/>
        </w:rPr>
      </w:pP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2</w:t>
      </w:r>
      <w:r>
        <w:rPr>
          <w:rFonts w:hint="eastAsia" w:ascii="宋体" w:hAnsi="宋体"/>
          <w:b/>
          <w:bCs/>
          <w:color w:val="auto"/>
          <w:szCs w:val="21"/>
          <w:highlight w:val="none"/>
          <w:lang w:eastAsia="zh-CN"/>
        </w:rPr>
        <w:t>）</w:t>
      </w:r>
      <w:r>
        <w:rPr>
          <w:rFonts w:hint="eastAsia" w:ascii="宋体" w:hAnsi="宋体"/>
          <w:b/>
          <w:bCs/>
          <w:color w:val="auto"/>
          <w:szCs w:val="21"/>
          <w:highlight w:val="none"/>
        </w:rPr>
        <w:t>本次</w:t>
      </w:r>
      <w:r>
        <w:rPr>
          <w:rFonts w:hint="eastAsia" w:ascii="宋体" w:hAnsi="宋体"/>
          <w:b/>
          <w:bCs/>
          <w:color w:val="auto"/>
          <w:szCs w:val="21"/>
          <w:highlight w:val="none"/>
          <w:lang w:val="en-US" w:eastAsia="zh-CN"/>
        </w:rPr>
        <w:t>投标</w:t>
      </w:r>
      <w:r>
        <w:rPr>
          <w:rFonts w:hint="eastAsia" w:ascii="宋体" w:hAnsi="宋体"/>
          <w:b/>
          <w:bCs/>
          <w:color w:val="auto"/>
          <w:szCs w:val="21"/>
          <w:highlight w:val="none"/>
        </w:rPr>
        <w:t>按清单报价，</w:t>
      </w:r>
      <w:r>
        <w:rPr>
          <w:rFonts w:hint="eastAsia" w:ascii="宋体" w:hAnsi="宋体"/>
          <w:b/>
          <w:bCs/>
          <w:color w:val="auto"/>
          <w:szCs w:val="21"/>
          <w:highlight w:val="none"/>
          <w:lang w:val="en-US" w:eastAsia="zh-CN"/>
        </w:rPr>
        <w:t>投标人</w:t>
      </w:r>
      <w:r>
        <w:rPr>
          <w:rFonts w:hint="eastAsia" w:ascii="宋体" w:hAnsi="宋体"/>
          <w:b/>
          <w:bCs/>
          <w:color w:val="auto"/>
          <w:szCs w:val="21"/>
          <w:highlight w:val="none"/>
        </w:rPr>
        <w:t>对清单有异议可在质疑期</w:t>
      </w:r>
      <w:r>
        <w:rPr>
          <w:rFonts w:hint="eastAsia" w:ascii="宋体" w:hAnsi="宋体"/>
          <w:b/>
          <w:bCs/>
          <w:color w:val="auto"/>
          <w:szCs w:val="21"/>
          <w:highlight w:val="none"/>
          <w:lang w:val="en-US" w:eastAsia="zh-CN"/>
        </w:rPr>
        <w:t>内</w:t>
      </w:r>
      <w:r>
        <w:rPr>
          <w:rFonts w:hint="eastAsia" w:ascii="宋体" w:hAnsi="宋体"/>
          <w:b/>
          <w:bCs/>
          <w:color w:val="auto"/>
          <w:szCs w:val="21"/>
          <w:highlight w:val="none"/>
        </w:rPr>
        <w:t>提出，否则</w:t>
      </w:r>
      <w:r>
        <w:rPr>
          <w:rFonts w:hint="eastAsia" w:ascii="宋体" w:hAnsi="宋体"/>
          <w:b/>
          <w:bCs/>
          <w:color w:val="auto"/>
          <w:szCs w:val="21"/>
          <w:highlight w:val="none"/>
          <w:lang w:val="en-US" w:eastAsia="zh-CN"/>
        </w:rPr>
        <w:t>中标</w:t>
      </w:r>
      <w:r>
        <w:rPr>
          <w:rFonts w:hint="eastAsia" w:ascii="宋体" w:hAnsi="宋体"/>
          <w:b/>
          <w:bCs/>
          <w:color w:val="auto"/>
          <w:szCs w:val="21"/>
          <w:highlight w:val="none"/>
        </w:rPr>
        <w:t>后再对清单提出异议</w:t>
      </w:r>
      <w:r>
        <w:rPr>
          <w:rFonts w:hint="eastAsia" w:ascii="宋体" w:hAnsi="宋体"/>
          <w:b/>
          <w:bCs/>
          <w:color w:val="auto"/>
          <w:szCs w:val="21"/>
          <w:highlight w:val="none"/>
          <w:lang w:val="en-US" w:eastAsia="zh-CN"/>
        </w:rPr>
        <w:t>采购人</w:t>
      </w:r>
      <w:r>
        <w:rPr>
          <w:rFonts w:hint="eastAsia" w:ascii="宋体" w:hAnsi="宋体"/>
          <w:b/>
          <w:bCs/>
          <w:color w:val="auto"/>
          <w:szCs w:val="21"/>
          <w:highlight w:val="none"/>
        </w:rPr>
        <w:t>将不予采纳</w:t>
      </w:r>
      <w:r>
        <w:rPr>
          <w:rFonts w:hint="eastAsia" w:ascii="宋体" w:hAnsi="宋体"/>
          <w:b/>
          <w:bCs/>
          <w:color w:val="auto"/>
          <w:szCs w:val="21"/>
          <w:highlight w:val="none"/>
          <w:lang w:eastAsia="zh-CN"/>
        </w:rPr>
        <w:t>；</w:t>
      </w:r>
    </w:p>
    <w:p>
      <w:pPr>
        <w:spacing w:line="360" w:lineRule="auto"/>
        <w:ind w:firstLine="422" w:firstLineChars="200"/>
        <w:outlineLvl w:val="2"/>
        <w:rPr>
          <w:rFonts w:ascii="宋体" w:hAnsi="宋体"/>
          <w:color w:val="auto"/>
          <w:szCs w:val="21"/>
          <w:highlight w:val="none"/>
        </w:rPr>
      </w:pP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3</w:t>
      </w:r>
      <w:r>
        <w:rPr>
          <w:rFonts w:hint="eastAsia" w:ascii="宋体" w:hAnsi="宋体"/>
          <w:b/>
          <w:bCs/>
          <w:color w:val="auto"/>
          <w:szCs w:val="21"/>
          <w:highlight w:val="none"/>
          <w:lang w:eastAsia="zh-CN"/>
        </w:rPr>
        <w:t>）</w:t>
      </w:r>
      <w:r>
        <w:rPr>
          <w:rFonts w:hint="eastAsia" w:ascii="宋体" w:hAnsi="宋体"/>
          <w:b/>
          <w:bCs/>
          <w:color w:val="auto"/>
          <w:szCs w:val="21"/>
          <w:highlight w:val="none"/>
        </w:rPr>
        <w:t>本项目施工期间不停止使用，请供应商根据要求编制进度计划及施工组织设计，若结算时</w:t>
      </w:r>
      <w:r>
        <w:rPr>
          <w:rFonts w:hint="eastAsia" w:ascii="宋体" w:hAnsi="宋体"/>
          <w:b/>
          <w:bCs/>
          <w:color w:val="auto"/>
          <w:szCs w:val="21"/>
          <w:highlight w:val="none"/>
          <w:lang w:val="en-US" w:eastAsia="zh-CN"/>
        </w:rPr>
        <w:t>投标人</w:t>
      </w:r>
      <w:r>
        <w:rPr>
          <w:rFonts w:hint="eastAsia" w:ascii="宋体" w:hAnsi="宋体"/>
          <w:b/>
          <w:bCs/>
          <w:color w:val="auto"/>
          <w:szCs w:val="21"/>
          <w:highlight w:val="none"/>
        </w:rPr>
        <w:t>以此来进行费用索赔和工期索赔，</w:t>
      </w:r>
      <w:r>
        <w:rPr>
          <w:rFonts w:hint="eastAsia" w:ascii="宋体" w:hAnsi="宋体"/>
          <w:b/>
          <w:bCs/>
          <w:color w:val="auto"/>
          <w:szCs w:val="21"/>
          <w:highlight w:val="none"/>
          <w:lang w:val="en-US" w:eastAsia="zh-CN"/>
        </w:rPr>
        <w:t>采购人</w:t>
      </w:r>
      <w:r>
        <w:rPr>
          <w:rFonts w:hint="eastAsia" w:ascii="宋体" w:hAnsi="宋体"/>
          <w:b/>
          <w:bCs/>
          <w:color w:val="auto"/>
          <w:szCs w:val="21"/>
          <w:highlight w:val="none"/>
        </w:rPr>
        <w:t>将不予采纳。</w:t>
      </w:r>
      <w:r>
        <w:rPr>
          <w:rFonts w:hint="eastAsia" w:ascii="宋体" w:hAnsi="宋体"/>
          <w:color w:val="auto"/>
          <w:szCs w:val="21"/>
          <w:highlight w:val="none"/>
        </w:rPr>
        <w:br w:type="page"/>
      </w:r>
    </w:p>
    <w:p>
      <w:pPr>
        <w:spacing w:line="360" w:lineRule="auto"/>
        <w:jc w:val="center"/>
        <w:outlineLvl w:val="1"/>
        <w:rPr>
          <w:rFonts w:ascii="宋体" w:hAnsi="宋体"/>
          <w:b/>
          <w:color w:val="auto"/>
          <w:szCs w:val="21"/>
          <w:highlight w:val="none"/>
        </w:rPr>
      </w:pPr>
      <w:bookmarkStart w:id="221" w:name="_Toc364679627"/>
      <w:bookmarkStart w:id="222" w:name="_Toc3905318"/>
      <w:bookmarkStart w:id="223" w:name="_Toc450228622"/>
      <w:bookmarkStart w:id="224" w:name="_Toc5204748"/>
      <w:bookmarkStart w:id="225" w:name="_Toc482874362"/>
      <w:bookmarkStart w:id="226" w:name="_Toc347825897"/>
      <w:r>
        <w:rPr>
          <w:rFonts w:hint="eastAsia" w:ascii="宋体" w:hAnsi="宋体"/>
          <w:b/>
          <w:color w:val="auto"/>
          <w:szCs w:val="21"/>
          <w:highlight w:val="none"/>
        </w:rPr>
        <w:t>第二节  适用的国家、行业以及地方规范、标准和规程</w:t>
      </w:r>
      <w:bookmarkEnd w:id="221"/>
      <w:bookmarkEnd w:id="222"/>
      <w:bookmarkEnd w:id="223"/>
      <w:bookmarkEnd w:id="224"/>
      <w:bookmarkEnd w:id="225"/>
      <w:bookmarkEnd w:id="226"/>
    </w:p>
    <w:p>
      <w:pPr>
        <w:spacing w:line="360" w:lineRule="auto"/>
        <w:jc w:val="center"/>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按</w:t>
      </w:r>
      <w:r>
        <w:rPr>
          <w:rFonts w:ascii="宋体" w:hAnsi="宋体"/>
          <w:color w:val="auto"/>
          <w:szCs w:val="21"/>
          <w:highlight w:val="none"/>
        </w:rPr>
        <w:t>国家、上海市颁布的现行有关建设工程建设标准、规范、规程、</w:t>
      </w:r>
      <w:r>
        <w:rPr>
          <w:rFonts w:hint="eastAsia" w:ascii="宋体" w:hAnsi="宋体"/>
          <w:color w:val="auto"/>
          <w:szCs w:val="21"/>
          <w:highlight w:val="none"/>
        </w:rPr>
        <w:t>图集执行。</w:t>
      </w:r>
    </w:p>
    <w:p>
      <w:pPr>
        <w:spacing w:after="480" w:afterLines="200" w:line="360" w:lineRule="auto"/>
        <w:jc w:val="left"/>
        <w:rPr>
          <w:rFonts w:ascii="宋体" w:hAnsi="宋体"/>
          <w:color w:val="auto"/>
          <w:szCs w:val="21"/>
          <w:highlight w:val="none"/>
        </w:rPr>
      </w:pPr>
    </w:p>
    <w:p>
      <w:pPr>
        <w:spacing w:after="480" w:afterLines="200"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附件A：施工现场现状平面图</w:t>
      </w:r>
    </w:p>
    <w:p>
      <w:pPr>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说明：该图由采购人准备，并作为招标文件的组成内容提供给投标人。图中应当标示本章第一节第1.2.1项规定的内容，并作必要的文字说明。</w:t>
      </w:r>
    </w:p>
    <w:p>
      <w:pPr>
        <w:spacing w:line="360" w:lineRule="auto"/>
        <w:jc w:val="left"/>
        <w:rPr>
          <w:rFonts w:asciiTheme="minorEastAsia" w:hAnsiTheme="minorEastAsia" w:eastAsiaTheme="minorEastAsia"/>
          <w:color w:val="auto"/>
          <w:szCs w:val="21"/>
          <w:highlight w:val="none"/>
        </w:rPr>
      </w:pPr>
    </w:p>
    <w:p>
      <w:pPr>
        <w:spacing w:line="360" w:lineRule="auto"/>
        <w:jc w:val="left"/>
        <w:rPr>
          <w:rFonts w:asciiTheme="minorEastAsia" w:hAnsiTheme="minorEastAsia" w:eastAsiaTheme="minorEastAsia"/>
          <w:color w:val="auto"/>
          <w:szCs w:val="21"/>
          <w:highlight w:val="none"/>
        </w:rPr>
      </w:pPr>
    </w:p>
    <w:p>
      <w:pPr>
        <w:spacing w:line="500" w:lineRule="exact"/>
        <w:jc w:val="left"/>
        <w:rPr>
          <w:rFonts w:asciiTheme="minorEastAsia" w:hAnsiTheme="minorEastAsia" w:eastAsiaTheme="minorEastAsia"/>
          <w:color w:val="auto"/>
          <w:szCs w:val="21"/>
          <w:highlight w:val="none"/>
        </w:rPr>
      </w:pPr>
    </w:p>
    <w:p>
      <w:pPr>
        <w:spacing w:line="500" w:lineRule="exact"/>
        <w:jc w:val="left"/>
        <w:rPr>
          <w:rFonts w:asciiTheme="minorEastAsia" w:hAnsiTheme="minorEastAsia" w:eastAsiaTheme="minorEastAsia"/>
          <w:color w:val="auto"/>
          <w:szCs w:val="21"/>
          <w:highlight w:val="none"/>
        </w:rPr>
      </w:pPr>
    </w:p>
    <w:p>
      <w:pPr>
        <w:spacing w:line="500" w:lineRule="exact"/>
        <w:jc w:val="left"/>
        <w:rPr>
          <w:rFonts w:asciiTheme="minorEastAsia" w:hAnsiTheme="minorEastAsia" w:eastAsiaTheme="minorEastAsia"/>
          <w:color w:val="auto"/>
          <w:szCs w:val="21"/>
          <w:highlight w:val="none"/>
        </w:rPr>
      </w:pPr>
    </w:p>
    <w:p>
      <w:pPr>
        <w:spacing w:line="500" w:lineRule="exact"/>
        <w:jc w:val="left"/>
        <w:rPr>
          <w:rFonts w:asciiTheme="minorEastAsia" w:hAnsiTheme="minorEastAsia" w:eastAsiaTheme="minorEastAsia"/>
          <w:color w:val="auto"/>
          <w:szCs w:val="21"/>
          <w:highlight w:val="none"/>
        </w:rPr>
      </w:pPr>
    </w:p>
    <w:p>
      <w:pPr>
        <w:spacing w:line="500" w:lineRule="exact"/>
        <w:jc w:val="left"/>
        <w:rPr>
          <w:rFonts w:asciiTheme="minorEastAsia" w:hAnsiTheme="minorEastAsia" w:eastAsiaTheme="minorEastAsia"/>
          <w:color w:val="auto"/>
          <w:szCs w:val="21"/>
          <w:highlight w:val="none"/>
        </w:rPr>
      </w:pPr>
    </w:p>
    <w:p>
      <w:pPr>
        <w:spacing w:line="500" w:lineRule="exact"/>
        <w:jc w:val="left"/>
        <w:rPr>
          <w:rFonts w:asciiTheme="minorEastAsia" w:hAnsiTheme="minorEastAsia" w:eastAsiaTheme="minorEastAsia"/>
          <w:color w:val="auto"/>
          <w:szCs w:val="21"/>
          <w:highlight w:val="none"/>
        </w:rPr>
      </w:pPr>
    </w:p>
    <w:p>
      <w:pPr>
        <w:spacing w:line="500" w:lineRule="exact"/>
        <w:jc w:val="left"/>
        <w:rPr>
          <w:rFonts w:asciiTheme="minorEastAsia" w:hAnsiTheme="minorEastAsia" w:eastAsiaTheme="minorEastAsia"/>
          <w:color w:val="auto"/>
          <w:szCs w:val="21"/>
          <w:highlight w:val="none"/>
        </w:rPr>
      </w:pPr>
    </w:p>
    <w:p>
      <w:pPr>
        <w:spacing w:line="500" w:lineRule="exact"/>
        <w:jc w:val="left"/>
        <w:rPr>
          <w:rFonts w:asciiTheme="minorEastAsia" w:hAnsiTheme="minorEastAsia" w:eastAsiaTheme="minorEastAsia"/>
          <w:color w:val="auto"/>
          <w:szCs w:val="21"/>
          <w:highlight w:val="none"/>
        </w:rPr>
      </w:pPr>
    </w:p>
    <w:p>
      <w:pPr>
        <w:widowControl/>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p>
    <w:p>
      <w:pPr>
        <w:spacing w:line="500" w:lineRule="exact"/>
        <w:jc w:val="left"/>
        <w:rPr>
          <w:rFonts w:asciiTheme="minorEastAsia" w:hAnsiTheme="minorEastAsia" w:eastAsiaTheme="minorEastAsia"/>
          <w:color w:val="auto"/>
          <w:szCs w:val="21"/>
          <w:highlight w:val="none"/>
        </w:rPr>
      </w:pPr>
    </w:p>
    <w:p>
      <w:pPr>
        <w:spacing w:line="500" w:lineRule="exact"/>
        <w:jc w:val="left"/>
        <w:rPr>
          <w:rFonts w:asciiTheme="minorEastAsia" w:hAnsiTheme="minorEastAsia" w:eastAsiaTheme="minorEastAsia"/>
          <w:color w:val="auto"/>
          <w:szCs w:val="21"/>
          <w:highlight w:val="none"/>
        </w:rPr>
      </w:pPr>
    </w:p>
    <w:p>
      <w:pPr>
        <w:spacing w:line="500" w:lineRule="exact"/>
        <w:jc w:val="left"/>
        <w:rPr>
          <w:rFonts w:asciiTheme="minorEastAsia" w:hAnsiTheme="minorEastAsia" w:eastAsiaTheme="minorEastAsia"/>
          <w:color w:val="auto"/>
          <w:szCs w:val="21"/>
          <w:highlight w:val="none"/>
        </w:rPr>
      </w:pPr>
    </w:p>
    <w:p>
      <w:pPr>
        <w:spacing w:line="500" w:lineRule="exact"/>
        <w:jc w:val="left"/>
        <w:rPr>
          <w:rFonts w:asciiTheme="minorEastAsia" w:hAnsiTheme="minorEastAsia" w:eastAsiaTheme="minorEastAsia"/>
          <w:color w:val="auto"/>
          <w:szCs w:val="21"/>
          <w:highlight w:val="none"/>
        </w:rPr>
      </w:pPr>
    </w:p>
    <w:p>
      <w:pPr>
        <w:spacing w:line="500" w:lineRule="exact"/>
        <w:jc w:val="left"/>
        <w:rPr>
          <w:rFonts w:asciiTheme="minorEastAsia" w:hAnsiTheme="minorEastAsia" w:eastAsiaTheme="minorEastAsia"/>
          <w:color w:val="auto"/>
          <w:szCs w:val="21"/>
          <w:highlight w:val="none"/>
        </w:rPr>
      </w:pPr>
    </w:p>
    <w:p>
      <w:pPr>
        <w:spacing w:line="360" w:lineRule="auto"/>
        <w:jc w:val="center"/>
        <w:outlineLvl w:val="0"/>
        <w:rPr>
          <w:rFonts w:ascii="宋体" w:hAnsi="宋体"/>
          <w:b/>
          <w:color w:val="auto"/>
          <w:sz w:val="52"/>
          <w:szCs w:val="52"/>
          <w:highlight w:val="none"/>
        </w:rPr>
      </w:pPr>
      <w:bookmarkStart w:id="227" w:name="_Toc449306089"/>
      <w:bookmarkStart w:id="228" w:name="_Toc17882835"/>
      <w:bookmarkStart w:id="229" w:name="_Toc364679628"/>
      <w:r>
        <w:rPr>
          <w:rFonts w:hint="eastAsia" w:ascii="宋体" w:hAnsi="宋体"/>
          <w:b/>
          <w:color w:val="auto"/>
          <w:sz w:val="52"/>
          <w:szCs w:val="52"/>
          <w:highlight w:val="none"/>
        </w:rPr>
        <w:t>第八章  投标文件格式</w:t>
      </w:r>
      <w:bookmarkEnd w:id="227"/>
      <w:bookmarkEnd w:id="228"/>
      <w:bookmarkEnd w:id="229"/>
    </w:p>
    <w:p>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p>
    <w:p>
      <w:pPr>
        <w:spacing w:line="360" w:lineRule="auto"/>
        <w:jc w:val="right"/>
        <w:rPr>
          <w:rFonts w:ascii="宋体" w:hAnsi="宋体"/>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 xml:space="preserve">正本 </w:t>
      </w:r>
      <w:r>
        <w:rPr>
          <w:rFonts w:hint="eastAsia" w:ascii="宋体" w:hAnsi="宋体"/>
          <w:color w:val="auto"/>
          <w:szCs w:val="21"/>
          <w:highlight w:val="none"/>
        </w:rPr>
        <w:t>□</w:t>
      </w:r>
      <w:r>
        <w:rPr>
          <w:rFonts w:hint="eastAsia" w:ascii="宋体" w:hAnsi="宋体"/>
          <w:b/>
          <w:color w:val="auto"/>
          <w:szCs w:val="21"/>
          <w:highlight w:val="none"/>
        </w:rPr>
        <w:t>副本</w:t>
      </w:r>
      <w:r>
        <w:rPr>
          <w:rFonts w:hint="eastAsia" w:ascii="宋体" w:hAnsi="宋体"/>
          <w:color w:val="auto"/>
          <w:szCs w:val="21"/>
          <w:highlight w:val="none"/>
        </w:rPr>
        <w:t>）</w:t>
      </w: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u w:val="single"/>
        </w:rPr>
      </w:pPr>
    </w:p>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 xml:space="preserve"> 项目</w:t>
      </w: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bCs/>
          <w:color w:val="auto"/>
          <w:w w:val="120"/>
          <w:kern w:val="0"/>
          <w:szCs w:val="21"/>
          <w:highlight w:val="none"/>
        </w:rPr>
      </w:pPr>
    </w:p>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w:t>
      </w: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（单位公章）</w:t>
      </w:r>
    </w:p>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w:t>
      </w:r>
    </w:p>
    <w:p>
      <w:pPr>
        <w:spacing w:line="360" w:lineRule="auto"/>
        <w:jc w:val="center"/>
        <w:rPr>
          <w:rFonts w:asciiTheme="minorEastAsia" w:hAnsiTheme="minorEastAsia" w:eastAsiaTheme="minorEastAsia"/>
          <w:color w:val="auto"/>
          <w:szCs w:val="21"/>
          <w:highlight w:val="none"/>
        </w:rPr>
      </w:pPr>
    </w:p>
    <w:p>
      <w:pPr>
        <w:spacing w:line="360" w:lineRule="auto"/>
        <w:jc w:val="center"/>
        <w:outlineLvl w:val="1"/>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bookmarkStart w:id="230" w:name="_Toc364679629"/>
      <w:bookmarkStart w:id="231" w:name="_Toc449306090"/>
      <w:bookmarkStart w:id="232" w:name="_Toc440870129"/>
      <w:r>
        <w:rPr>
          <w:rFonts w:hint="eastAsia" w:asciiTheme="minorEastAsia" w:hAnsiTheme="minorEastAsia" w:eastAsiaTheme="minorEastAsia"/>
          <w:color w:val="auto"/>
          <w:szCs w:val="21"/>
          <w:highlight w:val="none"/>
        </w:rPr>
        <w:t>目    录</w:t>
      </w:r>
      <w:bookmarkEnd w:id="230"/>
      <w:bookmarkEnd w:id="231"/>
      <w:bookmarkEnd w:id="232"/>
    </w:p>
    <w:p>
      <w:pPr>
        <w:spacing w:before="240" w:beforeLines="100" w:after="240" w:afterLines="100" w:line="360" w:lineRule="auto"/>
        <w:rPr>
          <w:rFonts w:asciiTheme="minorEastAsia" w:hAnsiTheme="minorEastAsia" w:eastAsiaTheme="minorEastAsia"/>
          <w:color w:val="auto"/>
          <w:szCs w:val="21"/>
          <w:highlight w:val="none"/>
        </w:rPr>
      </w:pPr>
    </w:p>
    <w:p>
      <w:pPr>
        <w:spacing w:before="240" w:beforeLines="100" w:after="240" w:afterLines="100"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一、商务标（包括但不仅限于以下内容）</w:t>
      </w:r>
    </w:p>
    <w:p>
      <w:pPr>
        <w:spacing w:line="360" w:lineRule="auto"/>
        <w:ind w:firstLine="105" w:firstLineChars="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（一）投标承诺书；</w:t>
      </w:r>
      <w:r>
        <w:rPr>
          <w:rFonts w:asciiTheme="minorEastAsia" w:hAnsiTheme="minorEastAsia" w:eastAsiaTheme="minorEastAsia"/>
          <w:color w:val="auto"/>
          <w:szCs w:val="21"/>
          <w:highlight w:val="none"/>
        </w:rPr>
        <w:t xml:space="preserve"> </w:t>
      </w:r>
    </w:p>
    <w:p>
      <w:pPr>
        <w:spacing w:line="360" w:lineRule="auto"/>
        <w:ind w:firstLine="735" w:firstLineChars="3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投标函；</w:t>
      </w:r>
    </w:p>
    <w:p>
      <w:pPr>
        <w:spacing w:line="360" w:lineRule="auto"/>
        <w:ind w:firstLine="735" w:firstLineChars="3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投标函附录A：上海市建设工程施工投标标书情况汇总表；</w:t>
      </w:r>
      <w:r>
        <w:rPr>
          <w:rFonts w:asciiTheme="minorEastAsia" w:hAnsiTheme="minorEastAsia" w:eastAsiaTheme="minorEastAsia"/>
          <w:color w:val="auto"/>
          <w:szCs w:val="21"/>
          <w:highlight w:val="none"/>
        </w:rPr>
        <w:t xml:space="preserve"> </w:t>
      </w:r>
    </w:p>
    <w:p>
      <w:pPr>
        <w:spacing w:line="360" w:lineRule="auto"/>
        <w:ind w:firstLine="735" w:firstLineChars="3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投标函附录B；</w:t>
      </w:r>
      <w:r>
        <w:rPr>
          <w:rFonts w:asciiTheme="minorEastAsia" w:hAnsiTheme="minorEastAsia" w:eastAsiaTheme="minorEastAsia"/>
          <w:color w:val="auto"/>
          <w:szCs w:val="21"/>
          <w:highlight w:val="none"/>
        </w:rPr>
        <w:t xml:space="preserve"> </w:t>
      </w:r>
    </w:p>
    <w:p>
      <w:pPr>
        <w:tabs>
          <w:tab w:val="left" w:pos="425"/>
        </w:tabs>
        <w:spacing w:before="120" w:beforeLines="50" w:line="360" w:lineRule="auto"/>
        <w:ind w:firstLine="105" w:firstLineChars="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（二）法定代表人证明；</w:t>
      </w:r>
    </w:p>
    <w:p>
      <w:pPr>
        <w:tabs>
          <w:tab w:val="left" w:pos="425"/>
        </w:tabs>
        <w:spacing w:before="120" w:beforeLines="50" w:line="360" w:lineRule="auto"/>
        <w:ind w:firstLine="735" w:firstLineChars="3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授权委托书；</w:t>
      </w:r>
    </w:p>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（三）已标价工程量清单；</w:t>
      </w:r>
      <w:r>
        <w:rPr>
          <w:rFonts w:ascii="宋体" w:hAnsi="宋体"/>
          <w:color w:val="auto"/>
          <w:szCs w:val="21"/>
          <w:highlight w:val="none"/>
        </w:rPr>
        <w:t xml:space="preserve"> </w:t>
      </w:r>
    </w:p>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（四）项目管理机构人员情况表；</w:t>
      </w:r>
    </w:p>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（五）投标人基本材料；</w:t>
      </w:r>
    </w:p>
    <w:p>
      <w:pPr>
        <w:spacing w:line="360" w:lineRule="auto"/>
        <w:ind w:left="105" w:leftChars="50"/>
        <w:rPr>
          <w:rFonts w:ascii="宋体" w:hAnsi="宋体"/>
          <w:color w:val="auto"/>
          <w:szCs w:val="21"/>
          <w:highlight w:val="none"/>
        </w:rPr>
      </w:pPr>
      <w:r>
        <w:rPr>
          <w:rFonts w:hint="eastAsia" w:ascii="宋体" w:hAnsi="宋体"/>
          <w:color w:val="auto"/>
          <w:szCs w:val="21"/>
          <w:highlight w:val="none"/>
        </w:rPr>
        <w:t>（六）其他。</w:t>
      </w:r>
    </w:p>
    <w:p>
      <w:pPr>
        <w:tabs>
          <w:tab w:val="left" w:pos="425"/>
        </w:tabs>
        <w:spacing w:before="120" w:beforeLines="50" w:line="360" w:lineRule="auto"/>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二、</w:t>
      </w:r>
      <w:r>
        <w:rPr>
          <w:rFonts w:hint="eastAsia" w:asciiTheme="minorEastAsia" w:hAnsiTheme="minorEastAsia" w:eastAsiaTheme="minorEastAsia"/>
          <w:color w:val="auto"/>
          <w:szCs w:val="21"/>
          <w:highlight w:val="none"/>
        </w:rPr>
        <w:t xml:space="preserve"> 技术标：包括但不仅限于施工组织设计</w:t>
      </w:r>
    </w:p>
    <w:p>
      <w:pPr>
        <w:spacing w:line="360" w:lineRule="auto"/>
        <w:ind w:left="105" w:leftChars="50"/>
        <w:rPr>
          <w:rFonts w:ascii="宋体" w:hAnsi="宋体"/>
          <w:color w:val="auto"/>
          <w:szCs w:val="21"/>
          <w:highlight w:val="none"/>
        </w:rPr>
      </w:pPr>
      <w:r>
        <w:rPr>
          <w:rFonts w:hint="eastAsia" w:ascii="宋体" w:hAnsi="宋体"/>
          <w:color w:val="auto"/>
          <w:szCs w:val="21"/>
          <w:highlight w:val="none"/>
        </w:rPr>
        <w:t>（一）施工组织设计；</w:t>
      </w:r>
    </w:p>
    <w:p>
      <w:pPr>
        <w:spacing w:line="360" w:lineRule="auto"/>
        <w:ind w:left="105" w:leftChars="50"/>
        <w:rPr>
          <w:rFonts w:ascii="宋体" w:hAnsi="宋体"/>
          <w:color w:val="auto"/>
          <w:szCs w:val="21"/>
          <w:highlight w:val="none"/>
        </w:rPr>
      </w:pPr>
      <w:r>
        <w:rPr>
          <w:rFonts w:hint="eastAsia" w:ascii="宋体" w:hAnsi="宋体"/>
          <w:color w:val="auto"/>
          <w:szCs w:val="21"/>
          <w:highlight w:val="none"/>
        </w:rPr>
        <w:t>（二）其他材料。</w:t>
      </w:r>
    </w:p>
    <w:p>
      <w:pPr>
        <w:tabs>
          <w:tab w:val="left" w:pos="425"/>
        </w:tabs>
        <w:spacing w:before="120" w:beforeLines="50" w:line="360" w:lineRule="auto"/>
        <w:rPr>
          <w:rFonts w:asciiTheme="minorEastAsia" w:hAnsiTheme="minorEastAsia" w:eastAsiaTheme="minorEastAsia"/>
          <w:color w:val="auto"/>
          <w:szCs w:val="21"/>
          <w:highlight w:val="none"/>
        </w:rPr>
      </w:pPr>
    </w:p>
    <w:p>
      <w:pPr>
        <w:pStyle w:val="3"/>
        <w:keepNext w:val="0"/>
        <w:keepLines w:val="0"/>
        <w:spacing w:line="240" w:lineRule="auto"/>
        <w:rPr>
          <w:rFonts w:asciiTheme="minorEastAsia" w:hAnsiTheme="minorEastAsia" w:eastAsiaTheme="minorEastAsia"/>
          <w:color w:val="auto"/>
          <w:highlight w:val="none"/>
        </w:rPr>
      </w:pPr>
      <w:r>
        <w:rPr>
          <w:color w:val="auto"/>
          <w:highlight w:val="none"/>
        </w:rPr>
        <w:br w:type="page"/>
      </w:r>
      <w:bookmarkStart w:id="233" w:name="_Toc364679630"/>
      <w:bookmarkStart w:id="234" w:name="_Toc449306091"/>
      <w:r>
        <w:rPr>
          <w:rFonts w:hint="eastAsia" w:asciiTheme="minorEastAsia" w:hAnsiTheme="minorEastAsia" w:eastAsiaTheme="minorEastAsia"/>
          <w:color w:val="auto"/>
          <w:highlight w:val="none"/>
        </w:rPr>
        <w:t>一、商务标</w:t>
      </w:r>
      <w:bookmarkEnd w:id="233"/>
      <w:bookmarkEnd w:id="234"/>
    </w:p>
    <w:p>
      <w:pPr>
        <w:pStyle w:val="4"/>
        <w:spacing w:line="240" w:lineRule="auto"/>
        <w:rPr>
          <w:color w:val="auto"/>
          <w:highlight w:val="none"/>
        </w:rPr>
      </w:pPr>
      <w:bookmarkStart w:id="235" w:name="_Toc364682243"/>
      <w:bookmarkStart w:id="236" w:name="_Toc440870131"/>
      <w:bookmarkStart w:id="237" w:name="_Toc449306092"/>
      <w:bookmarkStart w:id="238" w:name="_Toc364679631"/>
      <w:r>
        <w:rPr>
          <w:rFonts w:hint="eastAsia"/>
          <w:color w:val="auto"/>
          <w:highlight w:val="none"/>
        </w:rPr>
        <w:t>（一）投标承诺书、投标函及投标函附录A、附录B</w:t>
      </w:r>
      <w:bookmarkEnd w:id="235"/>
      <w:bookmarkEnd w:id="236"/>
      <w:bookmarkEnd w:id="237"/>
      <w:bookmarkEnd w:id="238"/>
    </w:p>
    <w:p>
      <w:pPr>
        <w:spacing w:before="240" w:beforeLines="100" w:line="276" w:lineRule="auto"/>
        <w:jc w:val="center"/>
        <w:outlineLvl w:val="3"/>
        <w:rPr>
          <w:rFonts w:asciiTheme="minorEastAsia" w:hAnsiTheme="minorEastAsia" w:eastAsiaTheme="minorEastAsia"/>
          <w:color w:val="auto"/>
          <w:szCs w:val="21"/>
          <w:highlight w:val="none"/>
        </w:rPr>
      </w:pPr>
      <w:bookmarkStart w:id="239" w:name="_Toc364679632"/>
      <w:r>
        <w:rPr>
          <w:rFonts w:hint="eastAsia" w:asciiTheme="minorEastAsia" w:hAnsiTheme="minorEastAsia" w:eastAsiaTheme="minorEastAsia"/>
          <w:color w:val="auto"/>
          <w:szCs w:val="21"/>
          <w:highlight w:val="none"/>
        </w:rPr>
        <w:t>投 标 承 诺 书</w:t>
      </w:r>
      <w:bookmarkEnd w:id="239"/>
    </w:p>
    <w:p>
      <w:pPr>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（本承诺书装订于投标文件首页）</w:t>
      </w:r>
    </w:p>
    <w:p>
      <w:pPr>
        <w:spacing w:line="276"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本公司承诺：</w:t>
      </w:r>
    </w:p>
    <w:p>
      <w:pPr>
        <w:spacing w:line="276"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遵循公开、公平、公正和诚实守信的原则，参加</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项目的投标。</w:t>
      </w:r>
    </w:p>
    <w:p>
      <w:pPr>
        <w:spacing w:line="276"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一、不提供有违真实的材料。</w:t>
      </w:r>
    </w:p>
    <w:p>
      <w:pPr>
        <w:spacing w:line="276" w:lineRule="auto"/>
        <w:ind w:firstLine="420" w:firstLineChars="200"/>
        <w:rPr>
          <w:color w:val="auto"/>
          <w:szCs w:val="21"/>
          <w:highlight w:val="none"/>
        </w:rPr>
      </w:pPr>
      <w:r>
        <w:rPr>
          <w:rFonts w:hint="eastAsia" w:asciiTheme="minorEastAsia" w:hAnsiTheme="minorEastAsia" w:eastAsiaTheme="minorEastAsia"/>
          <w:color w:val="auto"/>
          <w:szCs w:val="21"/>
          <w:highlight w:val="none"/>
        </w:rPr>
        <w:t>二、</w:t>
      </w:r>
      <w:r>
        <w:rPr>
          <w:rFonts w:hint="eastAsia"/>
          <w:color w:val="auto"/>
          <w:szCs w:val="21"/>
          <w:highlight w:val="none"/>
        </w:rPr>
        <w:t>与采购人不存在可能影响招标公正性的利害关系；与其他投标人不存在单位负责人为同一人或者控股、管理关系。</w:t>
      </w:r>
    </w:p>
    <w:p>
      <w:pPr>
        <w:spacing w:line="276" w:lineRule="auto"/>
        <w:ind w:firstLine="420" w:firstLineChars="200"/>
        <w:rPr>
          <w:rFonts w:ascii="宋体"/>
          <w:color w:val="auto"/>
          <w:szCs w:val="21"/>
          <w:highlight w:val="none"/>
        </w:rPr>
      </w:pPr>
      <w:r>
        <w:rPr>
          <w:rFonts w:hint="eastAsia" w:ascii="宋体" w:hAnsi="宋体"/>
          <w:color w:val="auto"/>
          <w:szCs w:val="21"/>
          <w:highlight w:val="none"/>
        </w:rPr>
        <w:t>三、不与采购人或其他投标人串通投标，损害国家利益、社会利益或他人的合法权益。</w:t>
      </w:r>
    </w:p>
    <w:p>
      <w:pPr>
        <w:spacing w:line="276"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四、不向采购人或评标委员会成员行贿，以谋取中标。</w:t>
      </w:r>
    </w:p>
    <w:p>
      <w:pPr>
        <w:spacing w:line="276"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五、不以他人名义投标或者其他方式弄虚作假，骗取中标。</w:t>
      </w:r>
    </w:p>
    <w:p>
      <w:pPr>
        <w:spacing w:line="276"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六、不进行缺乏事实根据或者法律依据的投诉。</w:t>
      </w:r>
    </w:p>
    <w:p>
      <w:pPr>
        <w:spacing w:line="276"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七、不在投标中哄抬价格或恶意压价。</w:t>
      </w:r>
    </w:p>
    <w:p>
      <w:pPr>
        <w:spacing w:line="276"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八、不违反相关法律法规，项目负责人不同时在两个及两个以上的建设项目上担任施工项目负责人。</w:t>
      </w:r>
    </w:p>
    <w:p>
      <w:pPr>
        <w:spacing w:line="276"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九、遵守国家和本市安全、质量有关法律法规和规范性文件中关于质量员、安全员的数量和人选的相关规定。</w:t>
      </w:r>
    </w:p>
    <w:p>
      <w:pPr>
        <w:spacing w:line="276"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十、加强对分包和劳务分包管理，对所分包工程的安全、质量和进度承担责任，不拖欠农民工工资，按时将分包合同报行政部门备案。</w:t>
      </w:r>
    </w:p>
    <w:p>
      <w:pPr>
        <w:spacing w:line="276"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十一、按照招标文件规定及合同约定，执行合理的施工工期。</w:t>
      </w:r>
    </w:p>
    <w:p>
      <w:pPr>
        <w:spacing w:line="276"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十二、保证建筑材料符合相关标准和设计要求，不使用未经检测或者检测质量不合格的建筑材料。</w:t>
      </w:r>
    </w:p>
    <w:p>
      <w:pPr>
        <w:spacing w:line="276" w:lineRule="auto"/>
        <w:ind w:firstLine="420" w:firstLineChars="200"/>
        <w:rPr>
          <w:rFonts w:ascii="宋体"/>
          <w:color w:val="auto"/>
          <w:szCs w:val="21"/>
          <w:highlight w:val="none"/>
        </w:rPr>
      </w:pPr>
      <w:bookmarkStart w:id="240" w:name="_Hlk43109179"/>
      <w:r>
        <w:rPr>
          <w:rFonts w:hint="eastAsia" w:ascii="宋体" w:hAnsi="宋体"/>
          <w:color w:val="auto"/>
          <w:szCs w:val="21"/>
          <w:highlight w:val="none"/>
        </w:rPr>
        <w:t>十三、不存在投标人须知1</w:t>
      </w:r>
      <w:r>
        <w:rPr>
          <w:rFonts w:ascii="宋体" w:hAnsi="宋体"/>
          <w:color w:val="auto"/>
          <w:szCs w:val="21"/>
          <w:highlight w:val="none"/>
        </w:rPr>
        <w:t>.4.3</w:t>
      </w:r>
      <w:r>
        <w:rPr>
          <w:rFonts w:hint="eastAsia" w:ascii="宋体" w:hAnsi="宋体"/>
          <w:color w:val="auto"/>
          <w:szCs w:val="21"/>
          <w:highlight w:val="none"/>
        </w:rPr>
        <w:t>款中所述情形。</w:t>
      </w:r>
    </w:p>
    <w:p>
      <w:pPr>
        <w:spacing w:line="276" w:lineRule="auto"/>
        <w:ind w:firstLine="420" w:firstLineChars="200"/>
        <w:rPr>
          <w:rFonts w:asciiTheme="minorEastAsia" w:hAnsiTheme="minorEastAsia" w:eastAsiaTheme="minorEastAsia"/>
          <w:color w:val="auto"/>
          <w:szCs w:val="21"/>
          <w:highlight w:val="none"/>
        </w:rPr>
      </w:pPr>
      <w:r>
        <w:rPr>
          <w:rFonts w:hint="eastAsia" w:ascii="宋体" w:hAnsi="宋体"/>
          <w:color w:val="auto"/>
          <w:szCs w:val="21"/>
          <w:highlight w:val="none"/>
        </w:rPr>
        <w:t>十四、我方向贵方提交的所有投标文件、资料都是准确的和真实的。以上事项如有虚假或隐瞒，我方愿意承担一切后果，并不再寻求任何旨在减轻或免除法律责任的辩解。</w:t>
      </w:r>
    </w:p>
    <w:p>
      <w:pPr>
        <w:spacing w:line="276"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十五、本公司若违反本投标承诺，愿承担相应的法律责任。</w:t>
      </w:r>
    </w:p>
    <w:bookmarkEnd w:id="240"/>
    <w:p>
      <w:pPr>
        <w:spacing w:line="276"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十六、其他承诺：</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pPr>
        <w:spacing w:line="276" w:lineRule="auto"/>
        <w:ind w:firstLine="420" w:firstLineChars="200"/>
        <w:rPr>
          <w:rFonts w:asciiTheme="minorEastAsia" w:hAnsiTheme="minorEastAsia" w:eastAsiaTheme="minorEastAsia"/>
          <w:color w:val="auto"/>
          <w:szCs w:val="21"/>
          <w:highlight w:val="none"/>
        </w:rPr>
      </w:pPr>
    </w:p>
    <w:p>
      <w:pPr>
        <w:spacing w:line="276" w:lineRule="auto"/>
        <w:ind w:firstLine="420" w:firstLineChars="200"/>
        <w:rPr>
          <w:rFonts w:asciiTheme="minorEastAsia" w:hAnsiTheme="minorEastAsia" w:eastAsiaTheme="minorEastAsia"/>
          <w:color w:val="auto"/>
          <w:szCs w:val="21"/>
          <w:highlight w:val="none"/>
        </w:rPr>
      </w:pPr>
    </w:p>
    <w:p>
      <w:pPr>
        <w:spacing w:line="360" w:lineRule="auto"/>
        <w:ind w:firstLine="2100" w:firstLineChars="10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投标人（单位公章）：</w:t>
      </w:r>
      <w:r>
        <w:rPr>
          <w:rFonts w:hint="eastAsia" w:asciiTheme="minorEastAsia" w:hAnsiTheme="minorEastAsia" w:eastAsiaTheme="minorEastAsia"/>
          <w:color w:val="auto"/>
          <w:szCs w:val="21"/>
          <w:highlight w:val="none"/>
          <w:u w:val="single"/>
        </w:rPr>
        <w:t xml:space="preserve">                                          </w:t>
      </w:r>
    </w:p>
    <w:p>
      <w:pPr>
        <w:spacing w:line="360" w:lineRule="auto"/>
        <w:ind w:firstLine="2100" w:firstLineChars="10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法定代表人（签字或盖章）：</w:t>
      </w:r>
      <w:r>
        <w:rPr>
          <w:rFonts w:hint="eastAsia" w:asciiTheme="minorEastAsia" w:hAnsiTheme="minorEastAsia" w:eastAsiaTheme="minorEastAsia"/>
          <w:color w:val="auto"/>
          <w:szCs w:val="21"/>
          <w:highlight w:val="none"/>
          <w:u w:val="single"/>
        </w:rPr>
        <w:t xml:space="preserve">                                    </w:t>
      </w:r>
    </w:p>
    <w:p>
      <w:pPr>
        <w:spacing w:line="360" w:lineRule="auto"/>
        <w:ind w:firstLine="2100" w:firstLineChars="10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拟任项目经理（签字或盖章并盖执业章）：</w:t>
      </w:r>
      <w:r>
        <w:rPr>
          <w:rFonts w:hint="eastAsia" w:asciiTheme="minorEastAsia" w:hAnsiTheme="minorEastAsia" w:eastAsiaTheme="minorEastAsia"/>
          <w:color w:val="auto"/>
          <w:szCs w:val="21"/>
          <w:highlight w:val="none"/>
          <w:u w:val="single"/>
        </w:rPr>
        <w:t xml:space="preserve">                        </w:t>
      </w:r>
    </w:p>
    <w:p>
      <w:pPr>
        <w:spacing w:line="360" w:lineRule="auto"/>
        <w:ind w:firstLine="2100" w:firstLineChars="10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拟任项目经理手机：</w:t>
      </w:r>
      <w:r>
        <w:rPr>
          <w:rFonts w:hint="eastAsia" w:asciiTheme="minorEastAsia" w:hAnsiTheme="minorEastAsia" w:eastAsiaTheme="minorEastAsia"/>
          <w:color w:val="auto"/>
          <w:szCs w:val="21"/>
          <w:highlight w:val="none"/>
          <w:u w:val="single"/>
        </w:rPr>
        <w:t xml:space="preserve">                                           </w:t>
      </w:r>
    </w:p>
    <w:p>
      <w:pPr>
        <w:spacing w:line="360" w:lineRule="auto"/>
        <w:ind w:firstLine="420" w:firstLineChars="200"/>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w:t>
      </w:r>
    </w:p>
    <w:p>
      <w:pPr>
        <w:spacing w:before="240" w:beforeLines="100" w:line="360" w:lineRule="auto"/>
        <w:jc w:val="center"/>
        <w:outlineLvl w:val="3"/>
        <w:rPr>
          <w:rFonts w:asciiTheme="minorEastAsia" w:hAnsiTheme="minorEastAsia" w:eastAsiaTheme="minorEastAsia"/>
          <w:color w:val="auto"/>
          <w:szCs w:val="21"/>
          <w:highlight w:val="none"/>
        </w:rPr>
        <w:sectPr>
          <w:footerReference r:id="rId17" w:type="default"/>
          <w:pgSz w:w="11906" w:h="16838"/>
          <w:pgMar w:top="1440" w:right="1644" w:bottom="1440" w:left="1797" w:header="851" w:footer="674" w:gutter="0"/>
          <w:cols w:space="425" w:num="1"/>
          <w:docGrid w:linePitch="312" w:charSpace="0"/>
        </w:sectPr>
      </w:pPr>
      <w:bookmarkStart w:id="241" w:name="_Toc364679633"/>
    </w:p>
    <w:p>
      <w:pPr>
        <w:spacing w:before="240" w:beforeLines="100" w:line="360" w:lineRule="auto"/>
        <w:jc w:val="center"/>
        <w:outlineLvl w:val="3"/>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投标函</w:t>
      </w:r>
      <w:bookmarkEnd w:id="241"/>
    </w:p>
    <w:p>
      <w:pPr>
        <w:spacing w:before="240" w:beforeLines="100" w:line="360" w:lineRule="auto"/>
        <w:jc w:val="center"/>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致：</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（采购人名称）</w:t>
      </w:r>
      <w:r>
        <w:rPr>
          <w:rFonts w:asciiTheme="minorEastAsia" w:hAnsiTheme="minorEastAsia" w:eastAsiaTheme="minorEastAsia"/>
          <w:color w:val="auto"/>
          <w:szCs w:val="21"/>
          <w:highlight w:val="none"/>
          <w:u w:val="single"/>
        </w:rPr>
        <w:t xml:space="preserve">          </w:t>
      </w:r>
    </w:p>
    <w:p>
      <w:pPr>
        <w:spacing w:line="360" w:lineRule="auto"/>
        <w:ind w:firstLine="420" w:firstLineChars="200"/>
        <w:rPr>
          <w:rFonts w:asciiTheme="minorEastAsia" w:hAnsiTheme="minorEastAsia" w:eastAsiaTheme="minorEastAsia"/>
          <w:color w:val="auto"/>
          <w:szCs w:val="21"/>
          <w:highlight w:val="none"/>
        </w:rPr>
      </w:pP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我方已仔细研究了</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（项目名称）</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（以下简称“本工程”）施工招标文件的全部内容后，我方兹以本投标函附录</w:t>
      </w:r>
      <w:r>
        <w:rPr>
          <w:rFonts w:asciiTheme="minorEastAsia" w:hAnsiTheme="minorEastAsia" w:eastAsiaTheme="minorEastAsia"/>
          <w:color w:val="auto"/>
          <w:szCs w:val="21"/>
          <w:highlight w:val="none"/>
        </w:rPr>
        <w:t>A</w:t>
      </w:r>
      <w:r>
        <w:rPr>
          <w:rFonts w:hint="eastAsia" w:asciiTheme="minorEastAsia" w:hAnsiTheme="minorEastAsia" w:eastAsiaTheme="minorEastAsia"/>
          <w:color w:val="auto"/>
          <w:szCs w:val="21"/>
          <w:highlight w:val="none"/>
        </w:rPr>
        <w:t>所载明的投标总价和按合同约定有权得到的其它金额，并严格按照合同约定，施工、竣工和交付本工程并维修其中的任何缺陷。</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如果我方中标，我方保证在</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日或按照合同约定的开工日期开始本工程的施工，投标函附录</w:t>
      </w:r>
      <w:r>
        <w:rPr>
          <w:rFonts w:asciiTheme="minorEastAsia" w:hAnsiTheme="minorEastAsia" w:eastAsiaTheme="minorEastAsia"/>
          <w:color w:val="auto"/>
          <w:szCs w:val="21"/>
          <w:highlight w:val="none"/>
        </w:rPr>
        <w:t>A</w:t>
      </w:r>
      <w:r>
        <w:rPr>
          <w:rFonts w:hint="eastAsia" w:asciiTheme="minorEastAsia" w:hAnsiTheme="minorEastAsia" w:eastAsiaTheme="minorEastAsia"/>
          <w:color w:val="auto"/>
          <w:szCs w:val="21"/>
          <w:highlight w:val="none"/>
        </w:rPr>
        <w:t>载明的工期内竣工，并确保工程质量达到投标函附录</w:t>
      </w:r>
      <w:r>
        <w:rPr>
          <w:rFonts w:asciiTheme="minorEastAsia" w:hAnsiTheme="minorEastAsia" w:eastAsiaTheme="minorEastAsia"/>
          <w:color w:val="auto"/>
          <w:szCs w:val="21"/>
          <w:highlight w:val="none"/>
        </w:rPr>
        <w:t>A</w:t>
      </w:r>
      <w:r>
        <w:rPr>
          <w:rFonts w:hint="eastAsia" w:asciiTheme="minorEastAsia" w:hAnsiTheme="minorEastAsia" w:eastAsiaTheme="minorEastAsia"/>
          <w:color w:val="auto"/>
          <w:szCs w:val="21"/>
          <w:highlight w:val="none"/>
        </w:rPr>
        <w:t>载明的质量标准。我方同意本投标函在招标文件规定的提交投标文件截止时间后，在招标文件规定的投标有效期期满前对我方具有约束力，且随时准备接受你方发出的中标通知书。</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随本投标函提交的投标函附录</w:t>
      </w:r>
      <w:r>
        <w:rPr>
          <w:rFonts w:asciiTheme="minorEastAsia" w:hAnsiTheme="minorEastAsia" w:eastAsiaTheme="minorEastAsia"/>
          <w:color w:val="auto"/>
          <w:szCs w:val="21"/>
          <w:highlight w:val="none"/>
        </w:rPr>
        <w:t>A</w:t>
      </w:r>
      <w:r>
        <w:rPr>
          <w:rFonts w:hint="eastAsia" w:asciiTheme="minorEastAsia" w:hAnsiTheme="minorEastAsia" w:eastAsiaTheme="minorEastAsia"/>
          <w:color w:val="auto"/>
          <w:szCs w:val="21"/>
          <w:highlight w:val="none"/>
        </w:rPr>
        <w:t>、附录</w:t>
      </w:r>
      <w:r>
        <w:rPr>
          <w:rFonts w:asciiTheme="minorEastAsia" w:hAnsiTheme="minorEastAsia" w:eastAsiaTheme="minorEastAsia"/>
          <w:color w:val="auto"/>
          <w:szCs w:val="21"/>
          <w:highlight w:val="none"/>
        </w:rPr>
        <w:t>B</w:t>
      </w:r>
      <w:r>
        <w:rPr>
          <w:rFonts w:hint="eastAsia" w:asciiTheme="minorEastAsia" w:hAnsiTheme="minorEastAsia" w:eastAsiaTheme="minorEastAsia"/>
          <w:color w:val="auto"/>
          <w:szCs w:val="21"/>
          <w:highlight w:val="none"/>
        </w:rPr>
        <w:t>是本投标函的组成部分，对我方构成约束力。</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随同本投标函提交投标保证金一份，金额为（大写）：</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元（</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元）。</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在签署协议书之前，你方的中标通知书连同本投标函，包括投标函附录</w:t>
      </w:r>
      <w:r>
        <w:rPr>
          <w:rFonts w:asciiTheme="minorEastAsia" w:hAnsiTheme="minorEastAsia" w:eastAsiaTheme="minorEastAsia"/>
          <w:color w:val="auto"/>
          <w:szCs w:val="21"/>
          <w:highlight w:val="none"/>
        </w:rPr>
        <w:t>A</w:t>
      </w:r>
      <w:r>
        <w:rPr>
          <w:rFonts w:hint="eastAsia" w:asciiTheme="minorEastAsia" w:hAnsiTheme="minorEastAsia" w:eastAsiaTheme="minorEastAsia"/>
          <w:color w:val="auto"/>
          <w:szCs w:val="21"/>
          <w:highlight w:val="none"/>
        </w:rPr>
        <w:t>、附录</w:t>
      </w:r>
      <w:r>
        <w:rPr>
          <w:rFonts w:asciiTheme="minorEastAsia" w:hAnsiTheme="minorEastAsia" w:eastAsiaTheme="minorEastAsia"/>
          <w:color w:val="auto"/>
          <w:szCs w:val="21"/>
          <w:highlight w:val="none"/>
        </w:rPr>
        <w:t>B</w:t>
      </w:r>
      <w:r>
        <w:rPr>
          <w:rFonts w:hint="eastAsia" w:asciiTheme="minorEastAsia" w:hAnsiTheme="minorEastAsia" w:eastAsiaTheme="minorEastAsia"/>
          <w:color w:val="auto"/>
          <w:szCs w:val="21"/>
          <w:highlight w:val="none"/>
        </w:rPr>
        <w:t>，对双方具有约束力。</w:t>
      </w:r>
    </w:p>
    <w:p>
      <w:pPr>
        <w:spacing w:line="360" w:lineRule="auto"/>
        <w:ind w:firstLine="3150" w:firstLineChars="1500"/>
        <w:rPr>
          <w:rFonts w:asciiTheme="minorEastAsia" w:hAnsiTheme="minorEastAsia" w:eastAsiaTheme="minorEastAsia"/>
          <w:color w:val="auto"/>
          <w:szCs w:val="21"/>
          <w:highlight w:val="none"/>
        </w:rPr>
      </w:pPr>
    </w:p>
    <w:p>
      <w:pPr>
        <w:spacing w:line="360" w:lineRule="auto"/>
        <w:ind w:firstLine="3150" w:firstLineChars="1500"/>
        <w:rPr>
          <w:rFonts w:asciiTheme="minorEastAsia" w:hAnsiTheme="minorEastAsia" w:eastAsiaTheme="minorEastAsia"/>
          <w:color w:val="auto"/>
          <w:szCs w:val="21"/>
          <w:highlight w:val="none"/>
        </w:rPr>
      </w:pPr>
    </w:p>
    <w:p>
      <w:pPr>
        <w:spacing w:line="360" w:lineRule="auto"/>
        <w:ind w:firstLine="2625" w:firstLineChars="125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投标人：</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（单位公章）</w:t>
      </w:r>
    </w:p>
    <w:p>
      <w:pPr>
        <w:spacing w:line="360" w:lineRule="auto"/>
        <w:ind w:firstLine="2625" w:firstLineChars="12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法定代表人或其委托代理人：</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（签字或盖章）</w:t>
      </w:r>
    </w:p>
    <w:p>
      <w:pPr>
        <w:spacing w:line="360" w:lineRule="auto"/>
        <w:ind w:firstLine="6090" w:firstLineChars="2900"/>
        <w:rPr>
          <w:rFonts w:asciiTheme="minorEastAsia" w:hAnsiTheme="minorEastAsia" w:eastAsiaTheme="minorEastAsia"/>
          <w:color w:val="auto"/>
          <w:szCs w:val="21"/>
          <w:highlight w:val="none"/>
          <w:u w:val="single"/>
        </w:rPr>
      </w:pPr>
    </w:p>
    <w:p>
      <w:pPr>
        <w:spacing w:line="360" w:lineRule="auto"/>
        <w:ind w:firstLine="5565" w:firstLineChars="265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w:t>
      </w:r>
    </w:p>
    <w:p>
      <w:pPr>
        <w:spacing w:line="360" w:lineRule="auto"/>
        <w:rPr>
          <w:rFonts w:asciiTheme="minorEastAsia" w:hAnsiTheme="minorEastAsia" w:eastAsiaTheme="minorEastAsia"/>
          <w:color w:val="auto"/>
          <w:szCs w:val="21"/>
          <w:highlight w:val="none"/>
          <w:u w:val="single"/>
        </w:rPr>
      </w:pPr>
    </w:p>
    <w:p>
      <w:pPr>
        <w:spacing w:line="360" w:lineRule="auto"/>
        <w:rPr>
          <w:rFonts w:asciiTheme="minorEastAsia" w:hAnsiTheme="minorEastAsia" w:eastAsiaTheme="minorEastAsia"/>
          <w:color w:val="auto"/>
          <w:szCs w:val="21"/>
          <w:highlight w:val="none"/>
          <w:u w:val="single"/>
        </w:rPr>
        <w:sectPr>
          <w:pgSz w:w="11906" w:h="16838"/>
          <w:pgMar w:top="1440" w:right="1644" w:bottom="1440" w:left="1797" w:header="851" w:footer="674" w:gutter="0"/>
          <w:cols w:space="425" w:num="1"/>
          <w:docGrid w:linePitch="312" w:charSpace="0"/>
        </w:sectPr>
      </w:pPr>
    </w:p>
    <w:p>
      <w:pPr>
        <w:spacing w:before="240" w:beforeLines="100" w:line="360" w:lineRule="auto"/>
        <w:jc w:val="center"/>
        <w:outlineLvl w:val="3"/>
        <w:rPr>
          <w:rFonts w:ascii="宋体" w:hAnsi="宋体"/>
          <w:color w:val="auto"/>
          <w:szCs w:val="21"/>
          <w:highlight w:val="none"/>
        </w:rPr>
      </w:pPr>
      <w:bookmarkStart w:id="242" w:name="_Toc364679634"/>
      <w:bookmarkStart w:id="243" w:name="_Toc364679635"/>
      <w:r>
        <w:rPr>
          <w:rFonts w:hint="eastAsia" w:ascii="宋体" w:hAnsi="宋体"/>
          <w:color w:val="auto"/>
          <w:szCs w:val="21"/>
          <w:highlight w:val="none"/>
        </w:rPr>
        <w:t>报价函附录A：上海市建设工程施工报价情况汇总表</w:t>
      </w:r>
      <w:bookmarkEnd w:id="242"/>
    </w:p>
    <w:p>
      <w:pPr>
        <w:spacing w:line="360" w:lineRule="auto"/>
        <w:jc w:val="center"/>
        <w:rPr>
          <w:rFonts w:ascii="宋体" w:hAnsi="宋体"/>
          <w:color w:val="auto"/>
          <w:szCs w:val="21"/>
          <w:highlight w:val="none"/>
          <w:u w:val="single"/>
        </w:rPr>
      </w:pPr>
    </w:p>
    <w:p>
      <w:pPr>
        <w:spacing w:line="360" w:lineRule="auto"/>
        <w:rPr>
          <w:rFonts w:ascii="宋体" w:hAnsi="宋体"/>
          <w:color w:val="auto"/>
          <w:szCs w:val="21"/>
          <w:highlight w:val="none"/>
        </w:rPr>
      </w:pPr>
      <w:r>
        <w:rPr>
          <w:rFonts w:hint="eastAsia" w:ascii="宋体" w:hAnsi="宋体"/>
          <w:color w:val="auto"/>
          <w:szCs w:val="21"/>
          <w:highlight w:val="none"/>
        </w:rPr>
        <w:t>建设工程名称：         （预算编号：</w:t>
      </w:r>
      <w:r>
        <w:rPr>
          <w:rFonts w:hint="eastAsia" w:ascii="宋体" w:hAnsi="宋体"/>
          <w:color w:val="auto"/>
          <w:szCs w:val="21"/>
          <w:highlight w:val="none"/>
          <w:u w:val="single"/>
        </w:rPr>
        <w:t xml:space="preserve">         </w:t>
      </w:r>
      <w:r>
        <w:rPr>
          <w:rFonts w:hint="eastAsia" w:ascii="宋体" w:hAnsi="宋体"/>
          <w:color w:val="auto"/>
          <w:szCs w:val="21"/>
          <w:highlight w:val="none"/>
        </w:rPr>
        <w:t>）                                                                  建筑面积：    平方米</w:t>
      </w:r>
    </w:p>
    <w:tbl>
      <w:tblPr>
        <w:tblStyle w:val="41"/>
        <w:tblW w:w="14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803"/>
        <w:gridCol w:w="1803"/>
        <w:gridCol w:w="1803"/>
        <w:gridCol w:w="1803"/>
        <w:gridCol w:w="1803"/>
        <w:gridCol w:w="1804"/>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2189" w:type="dxa"/>
            <w:vMerge w:val="restar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单位工程名称</w:t>
            </w:r>
          </w:p>
        </w:tc>
        <w:tc>
          <w:tcPr>
            <w:tcW w:w="10819" w:type="dxa"/>
            <w:gridSpan w:val="6"/>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报   价（万元）</w:t>
            </w:r>
          </w:p>
        </w:tc>
        <w:tc>
          <w:tcPr>
            <w:tcW w:w="1515" w:type="dxa"/>
            <w:vMerge w:val="restar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2189" w:type="dxa"/>
            <w:vMerge w:val="continue"/>
            <w:vAlign w:val="center"/>
          </w:tcPr>
          <w:p>
            <w:pPr>
              <w:spacing w:line="360" w:lineRule="auto"/>
              <w:rPr>
                <w:rFonts w:ascii="宋体" w:hAnsi="宋体"/>
                <w:color w:val="auto"/>
                <w:szCs w:val="21"/>
                <w:highlight w:val="none"/>
              </w:rPr>
            </w:pPr>
          </w:p>
        </w:tc>
        <w:tc>
          <w:tcPr>
            <w:tcW w:w="1803"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总计</w:t>
            </w:r>
          </w:p>
        </w:tc>
        <w:tc>
          <w:tcPr>
            <w:tcW w:w="1803"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分部分项工程量报价</w:t>
            </w:r>
          </w:p>
        </w:tc>
        <w:tc>
          <w:tcPr>
            <w:tcW w:w="1803"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其他项目报价</w:t>
            </w:r>
          </w:p>
        </w:tc>
        <w:tc>
          <w:tcPr>
            <w:tcW w:w="1803"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措施费报价</w:t>
            </w:r>
          </w:p>
        </w:tc>
        <w:tc>
          <w:tcPr>
            <w:tcW w:w="1803"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规费项目报价</w:t>
            </w:r>
          </w:p>
        </w:tc>
        <w:tc>
          <w:tcPr>
            <w:tcW w:w="1804"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增值税项目报价</w:t>
            </w:r>
          </w:p>
        </w:tc>
        <w:tc>
          <w:tcPr>
            <w:tcW w:w="1515" w:type="dxa"/>
            <w:vMerge w:val="continue"/>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189" w:type="dxa"/>
          </w:tcPr>
          <w:p>
            <w:pPr>
              <w:spacing w:line="360" w:lineRule="auto"/>
              <w:rPr>
                <w:rFonts w:ascii="宋体" w:hAnsi="宋体"/>
                <w:color w:val="auto"/>
                <w:szCs w:val="21"/>
                <w:highlight w:val="none"/>
              </w:rPr>
            </w:pPr>
          </w:p>
        </w:tc>
        <w:tc>
          <w:tcPr>
            <w:tcW w:w="1803" w:type="dxa"/>
          </w:tcPr>
          <w:p>
            <w:pPr>
              <w:spacing w:line="360" w:lineRule="auto"/>
              <w:rPr>
                <w:rFonts w:ascii="宋体" w:hAnsi="宋体"/>
                <w:color w:val="auto"/>
                <w:szCs w:val="21"/>
                <w:highlight w:val="none"/>
              </w:rPr>
            </w:pPr>
          </w:p>
        </w:tc>
        <w:tc>
          <w:tcPr>
            <w:tcW w:w="1803" w:type="dxa"/>
          </w:tcPr>
          <w:p>
            <w:pPr>
              <w:spacing w:line="360" w:lineRule="auto"/>
              <w:rPr>
                <w:rFonts w:ascii="宋体" w:hAnsi="宋体"/>
                <w:color w:val="auto"/>
                <w:szCs w:val="21"/>
                <w:highlight w:val="none"/>
              </w:rPr>
            </w:pPr>
          </w:p>
        </w:tc>
        <w:tc>
          <w:tcPr>
            <w:tcW w:w="1803" w:type="dxa"/>
            <w:vAlign w:val="center"/>
          </w:tcPr>
          <w:p>
            <w:pPr>
              <w:spacing w:line="360" w:lineRule="auto"/>
              <w:jc w:val="center"/>
              <w:rPr>
                <w:rFonts w:ascii="宋体" w:hAnsi="宋体"/>
                <w:color w:val="auto"/>
                <w:szCs w:val="21"/>
                <w:highlight w:val="none"/>
              </w:rPr>
            </w:pPr>
          </w:p>
        </w:tc>
        <w:tc>
          <w:tcPr>
            <w:tcW w:w="1803" w:type="dxa"/>
            <w:vAlign w:val="center"/>
          </w:tcPr>
          <w:p>
            <w:pPr>
              <w:spacing w:line="360" w:lineRule="auto"/>
              <w:jc w:val="center"/>
              <w:rPr>
                <w:rFonts w:ascii="宋体" w:hAnsi="宋体"/>
                <w:color w:val="auto"/>
                <w:szCs w:val="21"/>
                <w:highlight w:val="none"/>
              </w:rPr>
            </w:pPr>
          </w:p>
        </w:tc>
        <w:tc>
          <w:tcPr>
            <w:tcW w:w="1803" w:type="dxa"/>
          </w:tcPr>
          <w:p>
            <w:pPr>
              <w:spacing w:line="360" w:lineRule="auto"/>
              <w:jc w:val="center"/>
              <w:rPr>
                <w:rFonts w:ascii="宋体" w:hAnsi="宋体"/>
                <w:color w:val="auto"/>
                <w:szCs w:val="21"/>
                <w:highlight w:val="none"/>
              </w:rPr>
            </w:pPr>
          </w:p>
        </w:tc>
        <w:tc>
          <w:tcPr>
            <w:tcW w:w="1804" w:type="dxa"/>
          </w:tcPr>
          <w:p>
            <w:pPr>
              <w:spacing w:line="360" w:lineRule="auto"/>
              <w:jc w:val="center"/>
              <w:rPr>
                <w:rFonts w:ascii="宋体" w:hAnsi="宋体"/>
                <w:color w:val="auto"/>
                <w:szCs w:val="21"/>
                <w:highlight w:val="none"/>
              </w:rPr>
            </w:pPr>
          </w:p>
        </w:tc>
        <w:tc>
          <w:tcPr>
            <w:tcW w:w="1515" w:type="dxa"/>
            <w:vMerge w:val="restart"/>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89" w:type="dxa"/>
          </w:tcPr>
          <w:p>
            <w:pPr>
              <w:spacing w:line="360" w:lineRule="auto"/>
              <w:rPr>
                <w:rFonts w:ascii="宋体" w:hAnsi="宋体"/>
                <w:color w:val="auto"/>
                <w:szCs w:val="21"/>
                <w:highlight w:val="none"/>
              </w:rPr>
            </w:pPr>
            <w:r>
              <w:rPr>
                <w:rFonts w:hint="eastAsia" w:ascii="宋体" w:hAnsi="宋体"/>
                <w:color w:val="auto"/>
                <w:szCs w:val="21"/>
                <w:highlight w:val="none"/>
              </w:rPr>
              <w:t>合计</w:t>
            </w:r>
          </w:p>
        </w:tc>
        <w:tc>
          <w:tcPr>
            <w:tcW w:w="1803" w:type="dxa"/>
          </w:tcPr>
          <w:p>
            <w:pPr>
              <w:spacing w:line="360" w:lineRule="auto"/>
              <w:rPr>
                <w:rFonts w:ascii="宋体" w:hAnsi="宋体"/>
                <w:color w:val="auto"/>
                <w:szCs w:val="21"/>
                <w:highlight w:val="none"/>
              </w:rPr>
            </w:pPr>
          </w:p>
        </w:tc>
        <w:tc>
          <w:tcPr>
            <w:tcW w:w="1803" w:type="dxa"/>
          </w:tcPr>
          <w:p>
            <w:pPr>
              <w:spacing w:line="360" w:lineRule="auto"/>
              <w:rPr>
                <w:rFonts w:ascii="宋体" w:hAnsi="宋体"/>
                <w:color w:val="auto"/>
                <w:szCs w:val="21"/>
                <w:highlight w:val="none"/>
              </w:rPr>
            </w:pPr>
          </w:p>
        </w:tc>
        <w:tc>
          <w:tcPr>
            <w:tcW w:w="1803" w:type="dxa"/>
          </w:tcPr>
          <w:p>
            <w:pPr>
              <w:spacing w:line="360" w:lineRule="auto"/>
              <w:rPr>
                <w:rFonts w:ascii="宋体" w:hAnsi="宋体"/>
                <w:color w:val="auto"/>
                <w:szCs w:val="21"/>
                <w:highlight w:val="none"/>
              </w:rPr>
            </w:pPr>
          </w:p>
        </w:tc>
        <w:tc>
          <w:tcPr>
            <w:tcW w:w="1803" w:type="dxa"/>
          </w:tcPr>
          <w:p>
            <w:pPr>
              <w:spacing w:line="360" w:lineRule="auto"/>
              <w:jc w:val="center"/>
              <w:rPr>
                <w:rFonts w:ascii="宋体" w:hAnsi="宋体"/>
                <w:color w:val="auto"/>
                <w:szCs w:val="21"/>
                <w:highlight w:val="none"/>
              </w:rPr>
            </w:pPr>
          </w:p>
        </w:tc>
        <w:tc>
          <w:tcPr>
            <w:tcW w:w="1803" w:type="dxa"/>
          </w:tcPr>
          <w:p>
            <w:pPr>
              <w:spacing w:line="360" w:lineRule="auto"/>
              <w:jc w:val="center"/>
              <w:rPr>
                <w:rFonts w:ascii="宋体" w:hAnsi="宋体"/>
                <w:color w:val="auto"/>
                <w:szCs w:val="21"/>
                <w:highlight w:val="none"/>
              </w:rPr>
            </w:pPr>
          </w:p>
        </w:tc>
        <w:tc>
          <w:tcPr>
            <w:tcW w:w="1804" w:type="dxa"/>
          </w:tcPr>
          <w:p>
            <w:pPr>
              <w:spacing w:line="360" w:lineRule="auto"/>
              <w:jc w:val="center"/>
              <w:rPr>
                <w:rFonts w:ascii="宋体" w:hAnsi="宋体"/>
                <w:color w:val="auto"/>
                <w:szCs w:val="21"/>
                <w:highlight w:val="none"/>
              </w:rPr>
            </w:pPr>
          </w:p>
        </w:tc>
        <w:tc>
          <w:tcPr>
            <w:tcW w:w="1515" w:type="dxa"/>
            <w:vMerge w:val="continue"/>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trPr>
        <w:tc>
          <w:tcPr>
            <w:tcW w:w="14523" w:type="dxa"/>
            <w:gridSpan w:val="8"/>
          </w:tcPr>
          <w:p>
            <w:pPr>
              <w:spacing w:line="360" w:lineRule="auto"/>
              <w:rPr>
                <w:rFonts w:ascii="宋体" w:hAnsi="宋体"/>
                <w:color w:val="auto"/>
                <w:szCs w:val="21"/>
                <w:highlight w:val="none"/>
              </w:rPr>
            </w:pPr>
          </w:p>
          <w:p>
            <w:pPr>
              <w:spacing w:line="360" w:lineRule="auto"/>
              <w:rPr>
                <w:rFonts w:ascii="宋体" w:hAnsi="宋体"/>
                <w:color w:val="auto"/>
                <w:highlight w:val="none"/>
              </w:rPr>
            </w:pPr>
            <w:r>
              <w:rPr>
                <w:rFonts w:hint="eastAsia" w:ascii="宋体" w:hAnsi="宋体"/>
                <w:color w:val="auto"/>
                <w:highlight w:val="none"/>
              </w:rPr>
              <w:t>备注：1</w:t>
            </w:r>
            <w:r>
              <w:rPr>
                <w:rFonts w:ascii="宋体" w:hAnsi="宋体"/>
                <w:color w:val="auto"/>
                <w:highlight w:val="none"/>
              </w:rPr>
              <w:t>.总报价人民币大写：</w:t>
            </w:r>
          </w:p>
          <w:p>
            <w:pPr>
              <w:spacing w:line="360" w:lineRule="auto"/>
              <w:ind w:firstLine="630" w:firstLineChars="300"/>
              <w:rPr>
                <w:rFonts w:ascii="宋体" w:hAnsi="宋体"/>
                <w:color w:val="auto"/>
                <w:highlight w:val="none"/>
              </w:rPr>
            </w:pPr>
            <w:r>
              <w:rPr>
                <w:rFonts w:hint="eastAsia" w:ascii="宋体" w:hAnsi="宋体"/>
                <w:color w:val="auto"/>
                <w:highlight w:val="none"/>
              </w:rPr>
              <w:t>2</w:t>
            </w:r>
            <w:r>
              <w:rPr>
                <w:rFonts w:ascii="宋体" w:hAnsi="宋体"/>
                <w:color w:val="auto"/>
                <w:highlight w:val="none"/>
              </w:rPr>
              <w:t>.自报施工工期</w:t>
            </w:r>
            <w:r>
              <w:rPr>
                <w:rFonts w:hint="eastAsia" w:ascii="宋体" w:hAnsi="宋体"/>
                <w:color w:val="auto"/>
                <w:highlight w:val="none"/>
                <w:u w:val="single"/>
              </w:rPr>
              <w:t xml:space="preserve">          </w:t>
            </w:r>
            <w:r>
              <w:rPr>
                <w:rFonts w:hint="eastAsia" w:ascii="宋体" w:hAnsi="宋体"/>
                <w:color w:val="auto"/>
                <w:highlight w:val="none"/>
              </w:rPr>
              <w:t xml:space="preserve"> 日历天，自报质量</w:t>
            </w:r>
            <w:r>
              <w:rPr>
                <w:rFonts w:hint="eastAsia" w:ascii="宋体" w:hAnsi="宋体"/>
                <w:color w:val="auto"/>
                <w:highlight w:val="none"/>
                <w:u w:val="single"/>
              </w:rPr>
              <w:t xml:space="preserve">         </w:t>
            </w:r>
            <w:r>
              <w:rPr>
                <w:rFonts w:hint="eastAsia" w:ascii="宋体" w:hAnsi="宋体"/>
                <w:color w:val="auto"/>
                <w:highlight w:val="none"/>
              </w:rPr>
              <w:t xml:space="preserve"> 。</w:t>
            </w:r>
          </w:p>
          <w:p>
            <w:pPr>
              <w:spacing w:line="360" w:lineRule="auto"/>
              <w:ind w:firstLine="840" w:firstLineChars="400"/>
              <w:rPr>
                <w:rFonts w:ascii="宋体" w:hAnsi="宋体"/>
                <w:color w:val="auto"/>
                <w:highlight w:val="none"/>
              </w:rPr>
            </w:pPr>
            <w:r>
              <w:rPr>
                <w:rFonts w:hint="eastAsia" w:ascii="宋体" w:hAnsi="宋体"/>
                <w:color w:val="auto"/>
                <w:highlight w:val="none"/>
              </w:rPr>
              <w:t>质量、工期、渣土垃圾奖罚条款：</w:t>
            </w:r>
          </w:p>
          <w:p>
            <w:pPr>
              <w:spacing w:line="360" w:lineRule="auto"/>
              <w:ind w:firstLine="625" w:firstLineChars="298"/>
              <w:rPr>
                <w:rFonts w:ascii="宋体" w:hAnsi="宋体"/>
                <w:color w:val="auto"/>
                <w:highlight w:val="none"/>
              </w:rPr>
            </w:pPr>
            <w:r>
              <w:rPr>
                <w:rFonts w:hint="eastAsia" w:ascii="宋体" w:hAnsi="宋体"/>
                <w:color w:val="auto"/>
                <w:highlight w:val="none"/>
              </w:rPr>
              <w:t>3</w:t>
            </w:r>
            <w:r>
              <w:rPr>
                <w:rFonts w:ascii="宋体" w:hAnsi="宋体"/>
                <w:color w:val="auto"/>
                <w:highlight w:val="none"/>
              </w:rPr>
              <w:t>.安全文明措施费（万元）：</w:t>
            </w:r>
          </w:p>
          <w:p>
            <w:pPr>
              <w:spacing w:line="360" w:lineRule="auto"/>
              <w:ind w:firstLine="205" w:firstLineChars="98"/>
              <w:rPr>
                <w:rFonts w:ascii="宋体" w:hAnsi="宋体"/>
                <w:color w:val="auto"/>
                <w:highlight w:val="none"/>
                <w:u w:val="single"/>
              </w:rPr>
            </w:pPr>
            <w:r>
              <w:rPr>
                <w:rFonts w:hint="eastAsia" w:ascii="宋体" w:hAnsi="宋体"/>
                <w:color w:val="auto"/>
                <w:highlight w:val="none"/>
              </w:rPr>
              <w:t xml:space="preserve">    4</w:t>
            </w:r>
            <w:r>
              <w:rPr>
                <w:rFonts w:ascii="宋体" w:hAnsi="宋体"/>
                <w:color w:val="auto"/>
                <w:highlight w:val="none"/>
              </w:rPr>
              <w:t>.项目</w:t>
            </w:r>
            <w:r>
              <w:rPr>
                <w:rFonts w:hint="eastAsia" w:ascii="宋体" w:hAnsi="宋体"/>
                <w:color w:val="auto"/>
                <w:highlight w:val="none"/>
              </w:rPr>
              <w:t>负责人</w:t>
            </w:r>
            <w:r>
              <w:rPr>
                <w:rFonts w:ascii="宋体" w:hAnsi="宋体"/>
                <w:color w:val="auto"/>
                <w:highlight w:val="none"/>
              </w:rPr>
              <w:t>姓名：</w:t>
            </w:r>
            <w:r>
              <w:rPr>
                <w:rFonts w:hint="eastAsia" w:ascii="宋体" w:hAnsi="宋体"/>
                <w:color w:val="auto"/>
                <w:highlight w:val="none"/>
                <w:u w:val="single"/>
              </w:rPr>
              <w:t xml:space="preserve">          </w:t>
            </w:r>
            <w:r>
              <w:rPr>
                <w:rFonts w:hint="eastAsia" w:ascii="宋体" w:hAnsi="宋体"/>
                <w:color w:val="auto"/>
                <w:highlight w:val="none"/>
              </w:rPr>
              <w:t xml:space="preserve"> 手机号：</w:t>
            </w:r>
            <w:r>
              <w:rPr>
                <w:rFonts w:hint="eastAsia" w:ascii="宋体" w:hAnsi="宋体"/>
                <w:color w:val="auto"/>
                <w:highlight w:val="none"/>
                <w:u w:val="single"/>
              </w:rPr>
              <w:t xml:space="preserve">              </w:t>
            </w:r>
            <w:r>
              <w:rPr>
                <w:rFonts w:hint="eastAsia" w:ascii="宋体" w:hAnsi="宋体"/>
                <w:color w:val="auto"/>
                <w:highlight w:val="none"/>
              </w:rPr>
              <w:t>身份证号码：</w:t>
            </w:r>
            <w:r>
              <w:rPr>
                <w:rFonts w:hint="eastAsia" w:ascii="宋体" w:hAnsi="宋体"/>
                <w:color w:val="auto"/>
                <w:highlight w:val="none"/>
                <w:u w:val="single"/>
              </w:rPr>
              <w:t xml:space="preserve">                      </w:t>
            </w:r>
          </w:p>
          <w:p>
            <w:pPr>
              <w:spacing w:line="360" w:lineRule="auto"/>
              <w:jc w:val="center"/>
              <w:rPr>
                <w:rFonts w:ascii="宋体" w:hAnsi="宋体"/>
                <w:color w:val="auto"/>
                <w:highlight w:val="none"/>
              </w:rPr>
            </w:pPr>
            <w:r>
              <w:rPr>
                <w:rFonts w:hint="eastAsia" w:ascii="宋体" w:hAnsi="宋体"/>
                <w:color w:val="auto"/>
                <w:highlight w:val="none"/>
              </w:rPr>
              <w:t xml:space="preserve">                                                                          投标人：（单位公章）</w:t>
            </w:r>
            <w:r>
              <w:rPr>
                <w:rFonts w:hint="eastAsia" w:ascii="宋体" w:hAnsi="宋体" w:cs="宋体"/>
                <w:color w:val="auto"/>
                <w:highlight w:val="none"/>
              </w:rPr>
              <w:t> </w:t>
            </w:r>
          </w:p>
          <w:p>
            <w:pPr>
              <w:spacing w:line="360" w:lineRule="auto"/>
              <w:jc w:val="center"/>
              <w:rPr>
                <w:rFonts w:ascii="宋体" w:hAnsi="宋体"/>
                <w:color w:val="auto"/>
                <w:highlight w:val="none"/>
              </w:rPr>
            </w:pPr>
            <w:r>
              <w:rPr>
                <w:rFonts w:hint="eastAsia" w:ascii="宋体" w:hAnsi="宋体"/>
                <w:color w:val="auto"/>
                <w:highlight w:val="none"/>
              </w:rPr>
              <w:t xml:space="preserve">                                                                                            法定代表人或其委托代理人：    （签字或盖章）</w:t>
            </w:r>
          </w:p>
          <w:p>
            <w:pPr>
              <w:spacing w:line="360" w:lineRule="auto"/>
              <w:jc w:val="center"/>
              <w:rPr>
                <w:rFonts w:ascii="宋体" w:hAnsi="宋体"/>
                <w:color w:val="auto"/>
                <w:szCs w:val="21"/>
                <w:highlight w:val="none"/>
              </w:rPr>
            </w:pPr>
            <w:r>
              <w:rPr>
                <w:rFonts w:hint="eastAsia" w:ascii="宋体" w:hAnsi="宋体"/>
                <w:color w:val="auto"/>
                <w:highlight w:val="none"/>
              </w:rPr>
              <w:t xml:space="preserve">                                                                               年   月   日</w:t>
            </w:r>
          </w:p>
        </w:tc>
      </w:tr>
    </w:tbl>
    <w:p>
      <w:pPr>
        <w:spacing w:before="240" w:beforeLines="100" w:line="360" w:lineRule="auto"/>
        <w:jc w:val="center"/>
        <w:outlineLvl w:val="3"/>
        <w:rPr>
          <w:rFonts w:asciiTheme="minorEastAsia" w:hAnsiTheme="minorEastAsia" w:eastAsiaTheme="minorEastAsia"/>
          <w:color w:val="auto"/>
          <w:szCs w:val="21"/>
          <w:highlight w:val="none"/>
        </w:rPr>
        <w:sectPr>
          <w:headerReference r:id="rId18" w:type="default"/>
          <w:footerReference r:id="rId19" w:type="default"/>
          <w:footerReference r:id="rId20" w:type="even"/>
          <w:pgSz w:w="16838" w:h="11906" w:orient="landscape"/>
          <w:pgMar w:top="2160" w:right="1440" w:bottom="1646" w:left="1440" w:header="851" w:footer="992" w:gutter="0"/>
          <w:cols w:space="425" w:num="1"/>
          <w:titlePg/>
          <w:docGrid w:linePitch="312" w:charSpace="0"/>
        </w:sectPr>
      </w:pPr>
    </w:p>
    <w:p>
      <w:pPr>
        <w:spacing w:before="240" w:beforeLines="100" w:line="360" w:lineRule="auto"/>
        <w:jc w:val="center"/>
        <w:outlineLvl w:val="3"/>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投标函附录B</w:t>
      </w:r>
      <w:bookmarkEnd w:id="243"/>
    </w:p>
    <w:p>
      <w:pPr>
        <w:spacing w:before="240" w:beforeLines="100" w:line="360" w:lineRule="auto"/>
        <w:jc w:val="center"/>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工程名称：</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（项目名称）</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报建编号及标段号）</w:t>
      </w:r>
    </w:p>
    <w:tbl>
      <w:tblPr>
        <w:tblStyle w:val="41"/>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604"/>
        <w:gridCol w:w="1391"/>
        <w:gridCol w:w="185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47"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 号</w:t>
            </w:r>
          </w:p>
        </w:tc>
        <w:tc>
          <w:tcPr>
            <w:tcW w:w="2604"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条款内容</w:t>
            </w:r>
          </w:p>
        </w:tc>
        <w:tc>
          <w:tcPr>
            <w:tcW w:w="1391"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合同条款号</w:t>
            </w:r>
          </w:p>
        </w:tc>
        <w:tc>
          <w:tcPr>
            <w:tcW w:w="1853"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约定内容</w:t>
            </w:r>
          </w:p>
        </w:tc>
        <w:tc>
          <w:tcPr>
            <w:tcW w:w="1585"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47"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2604" w:type="dxa"/>
            <w:shd w:val="clear" w:color="auto" w:fill="auto"/>
            <w:vAlign w:val="center"/>
          </w:tcPr>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项目经理</w:t>
            </w:r>
          </w:p>
        </w:tc>
        <w:tc>
          <w:tcPr>
            <w:tcW w:w="1391" w:type="dxa"/>
            <w:shd w:val="clear" w:color="auto" w:fill="auto"/>
            <w:tcMar>
              <w:left w:w="170" w:type="dxa"/>
            </w:tcMar>
            <w:vAlign w:val="center"/>
          </w:tcPr>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w:t>
            </w:r>
          </w:p>
        </w:tc>
        <w:tc>
          <w:tcPr>
            <w:tcW w:w="1853" w:type="dxa"/>
            <w:shd w:val="clear" w:color="auto" w:fill="auto"/>
            <w:vAlign w:val="center"/>
          </w:tcPr>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姓名：</w:t>
            </w:r>
            <w:r>
              <w:rPr>
                <w:rFonts w:hint="eastAsia" w:asciiTheme="minorEastAsia" w:hAnsiTheme="minorEastAsia" w:eastAsiaTheme="minorEastAsia"/>
                <w:color w:val="auto"/>
                <w:szCs w:val="21"/>
                <w:highlight w:val="none"/>
                <w:u w:val="single"/>
              </w:rPr>
              <w:t xml:space="preserve">          </w:t>
            </w:r>
          </w:p>
        </w:tc>
        <w:tc>
          <w:tcPr>
            <w:tcW w:w="1585"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47"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2604" w:type="dxa"/>
            <w:shd w:val="clear" w:color="auto" w:fill="auto"/>
            <w:vAlign w:val="center"/>
          </w:tcPr>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工期</w:t>
            </w:r>
          </w:p>
        </w:tc>
        <w:tc>
          <w:tcPr>
            <w:tcW w:w="1391" w:type="dxa"/>
            <w:shd w:val="clear" w:color="auto" w:fill="auto"/>
            <w:tcMar>
              <w:left w:w="170" w:type="dxa"/>
            </w:tcMar>
            <w:vAlign w:val="center"/>
          </w:tcPr>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w:t>
            </w:r>
          </w:p>
        </w:tc>
        <w:tc>
          <w:tcPr>
            <w:tcW w:w="1853"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日历天</w:t>
            </w:r>
          </w:p>
        </w:tc>
        <w:tc>
          <w:tcPr>
            <w:tcW w:w="1585"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47"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2604" w:type="dxa"/>
            <w:shd w:val="clear" w:color="auto" w:fill="auto"/>
            <w:vAlign w:val="center"/>
          </w:tcPr>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缺陷责任期</w:t>
            </w:r>
          </w:p>
        </w:tc>
        <w:tc>
          <w:tcPr>
            <w:tcW w:w="1391" w:type="dxa"/>
            <w:shd w:val="clear" w:color="auto" w:fill="auto"/>
            <w:tcMar>
              <w:left w:w="170" w:type="dxa"/>
            </w:tcMar>
            <w:vAlign w:val="center"/>
          </w:tcPr>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w:t>
            </w:r>
          </w:p>
        </w:tc>
        <w:tc>
          <w:tcPr>
            <w:tcW w:w="1853"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585"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47"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2604" w:type="dxa"/>
            <w:shd w:val="clear" w:color="auto" w:fill="auto"/>
            <w:vAlign w:val="center"/>
          </w:tcPr>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承包人履约保证金金额</w:t>
            </w:r>
          </w:p>
        </w:tc>
        <w:tc>
          <w:tcPr>
            <w:tcW w:w="1391" w:type="dxa"/>
            <w:shd w:val="clear" w:color="auto" w:fill="auto"/>
            <w:tcMar>
              <w:left w:w="170" w:type="dxa"/>
            </w:tcMar>
            <w:vAlign w:val="center"/>
          </w:tcPr>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w:t>
            </w:r>
          </w:p>
        </w:tc>
        <w:tc>
          <w:tcPr>
            <w:tcW w:w="1853"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585"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47"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2604" w:type="dxa"/>
            <w:shd w:val="clear" w:color="auto" w:fill="auto"/>
            <w:vAlign w:val="center"/>
          </w:tcPr>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分包</w:t>
            </w:r>
          </w:p>
        </w:tc>
        <w:tc>
          <w:tcPr>
            <w:tcW w:w="1391" w:type="dxa"/>
            <w:shd w:val="clear" w:color="auto" w:fill="auto"/>
            <w:tcMar>
              <w:left w:w="170" w:type="dxa"/>
            </w:tcMar>
            <w:vAlign w:val="center"/>
          </w:tcPr>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w:t>
            </w:r>
          </w:p>
        </w:tc>
        <w:tc>
          <w:tcPr>
            <w:tcW w:w="1853"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见拟分包计划表</w:t>
            </w:r>
          </w:p>
        </w:tc>
        <w:tc>
          <w:tcPr>
            <w:tcW w:w="1585"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47"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p>
        </w:tc>
        <w:tc>
          <w:tcPr>
            <w:tcW w:w="2604" w:type="dxa"/>
            <w:shd w:val="clear" w:color="auto" w:fill="auto"/>
            <w:vAlign w:val="center"/>
          </w:tcPr>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逾期竣工违约金</w:t>
            </w:r>
          </w:p>
        </w:tc>
        <w:tc>
          <w:tcPr>
            <w:tcW w:w="1391" w:type="dxa"/>
            <w:shd w:val="clear" w:color="auto" w:fill="auto"/>
            <w:tcMar>
              <w:left w:w="170" w:type="dxa"/>
            </w:tcMar>
            <w:vAlign w:val="center"/>
          </w:tcPr>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w:t>
            </w:r>
          </w:p>
        </w:tc>
        <w:tc>
          <w:tcPr>
            <w:tcW w:w="1853"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元/天</w:t>
            </w:r>
          </w:p>
        </w:tc>
        <w:tc>
          <w:tcPr>
            <w:tcW w:w="1585"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47"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p>
        </w:tc>
        <w:tc>
          <w:tcPr>
            <w:tcW w:w="2604" w:type="dxa"/>
            <w:shd w:val="clear" w:color="auto" w:fill="auto"/>
            <w:vAlign w:val="center"/>
          </w:tcPr>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逾期竣工违约金最高限额</w:t>
            </w:r>
          </w:p>
        </w:tc>
        <w:tc>
          <w:tcPr>
            <w:tcW w:w="1391" w:type="dxa"/>
            <w:shd w:val="clear" w:color="auto" w:fill="auto"/>
            <w:tcMar>
              <w:left w:w="170" w:type="dxa"/>
            </w:tcMar>
            <w:vAlign w:val="center"/>
          </w:tcPr>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w:t>
            </w:r>
          </w:p>
        </w:tc>
        <w:tc>
          <w:tcPr>
            <w:tcW w:w="1853" w:type="dxa"/>
            <w:shd w:val="clear" w:color="auto" w:fill="auto"/>
            <w:vAlign w:val="center"/>
          </w:tcPr>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 xml:space="preserve">             </w:t>
            </w:r>
          </w:p>
        </w:tc>
        <w:tc>
          <w:tcPr>
            <w:tcW w:w="1585"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47"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w:t>
            </w:r>
          </w:p>
        </w:tc>
        <w:tc>
          <w:tcPr>
            <w:tcW w:w="2604" w:type="dxa"/>
            <w:shd w:val="clear" w:color="auto" w:fill="auto"/>
            <w:vAlign w:val="center"/>
          </w:tcPr>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质量标准及违约赔偿承诺</w:t>
            </w:r>
          </w:p>
        </w:tc>
        <w:tc>
          <w:tcPr>
            <w:tcW w:w="1391" w:type="dxa"/>
            <w:shd w:val="clear" w:color="auto" w:fill="auto"/>
            <w:tcMar>
              <w:left w:w="170" w:type="dxa"/>
            </w:tcMar>
            <w:vAlign w:val="center"/>
          </w:tcPr>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w:t>
            </w:r>
          </w:p>
        </w:tc>
        <w:tc>
          <w:tcPr>
            <w:tcW w:w="1853"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585"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47"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w:t>
            </w:r>
          </w:p>
        </w:tc>
        <w:tc>
          <w:tcPr>
            <w:tcW w:w="2604" w:type="dxa"/>
            <w:shd w:val="clear" w:color="auto" w:fill="auto"/>
            <w:vAlign w:val="center"/>
          </w:tcPr>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价格调整的差额计算</w:t>
            </w:r>
          </w:p>
        </w:tc>
        <w:tc>
          <w:tcPr>
            <w:tcW w:w="1391" w:type="dxa"/>
            <w:shd w:val="clear" w:color="auto" w:fill="auto"/>
            <w:tcMar>
              <w:left w:w="170" w:type="dxa"/>
            </w:tcMar>
            <w:vAlign w:val="center"/>
          </w:tcPr>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w:t>
            </w:r>
          </w:p>
        </w:tc>
        <w:tc>
          <w:tcPr>
            <w:tcW w:w="1853"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585"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47"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w:t>
            </w:r>
          </w:p>
        </w:tc>
        <w:tc>
          <w:tcPr>
            <w:tcW w:w="2604" w:type="dxa"/>
            <w:shd w:val="clear" w:color="auto" w:fill="auto"/>
            <w:vAlign w:val="center"/>
          </w:tcPr>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预付款额度</w:t>
            </w:r>
          </w:p>
        </w:tc>
        <w:tc>
          <w:tcPr>
            <w:tcW w:w="1391" w:type="dxa"/>
            <w:shd w:val="clear" w:color="auto" w:fill="auto"/>
            <w:tcMar>
              <w:left w:w="170" w:type="dxa"/>
            </w:tcMar>
            <w:vAlign w:val="center"/>
          </w:tcPr>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w:t>
            </w:r>
          </w:p>
        </w:tc>
        <w:tc>
          <w:tcPr>
            <w:tcW w:w="1853"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585"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47"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w:t>
            </w:r>
          </w:p>
        </w:tc>
        <w:tc>
          <w:tcPr>
            <w:tcW w:w="2604" w:type="dxa"/>
            <w:shd w:val="clear" w:color="auto" w:fill="auto"/>
            <w:vAlign w:val="center"/>
          </w:tcPr>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预付款保函金额</w:t>
            </w:r>
          </w:p>
        </w:tc>
        <w:tc>
          <w:tcPr>
            <w:tcW w:w="1391" w:type="dxa"/>
            <w:shd w:val="clear" w:color="auto" w:fill="auto"/>
            <w:tcMar>
              <w:left w:w="170" w:type="dxa"/>
            </w:tcMar>
            <w:vAlign w:val="center"/>
          </w:tcPr>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w:t>
            </w:r>
          </w:p>
        </w:tc>
        <w:tc>
          <w:tcPr>
            <w:tcW w:w="1853"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585"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47"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w:t>
            </w:r>
          </w:p>
        </w:tc>
        <w:tc>
          <w:tcPr>
            <w:tcW w:w="2604" w:type="dxa"/>
            <w:shd w:val="clear" w:color="auto" w:fill="auto"/>
            <w:vAlign w:val="center"/>
          </w:tcPr>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质量保证金扣留百分比</w:t>
            </w:r>
          </w:p>
        </w:tc>
        <w:tc>
          <w:tcPr>
            <w:tcW w:w="1391" w:type="dxa"/>
            <w:shd w:val="clear" w:color="auto" w:fill="auto"/>
            <w:tcMar>
              <w:left w:w="170" w:type="dxa"/>
            </w:tcMar>
            <w:vAlign w:val="center"/>
          </w:tcPr>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w:t>
            </w:r>
          </w:p>
        </w:tc>
        <w:tc>
          <w:tcPr>
            <w:tcW w:w="1853"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585"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47"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604" w:type="dxa"/>
            <w:shd w:val="clear" w:color="auto" w:fill="auto"/>
            <w:vAlign w:val="center"/>
          </w:tcPr>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质量保证金额度</w:t>
            </w:r>
          </w:p>
        </w:tc>
        <w:tc>
          <w:tcPr>
            <w:tcW w:w="1391" w:type="dxa"/>
            <w:shd w:val="clear" w:color="auto" w:fill="auto"/>
            <w:tcMar>
              <w:left w:w="170" w:type="dxa"/>
            </w:tcMar>
            <w:vAlign w:val="center"/>
          </w:tcPr>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w:t>
            </w:r>
          </w:p>
        </w:tc>
        <w:tc>
          <w:tcPr>
            <w:tcW w:w="1853"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585"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47"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2604"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39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853"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585"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8280" w:type="dxa"/>
            <w:gridSpan w:val="5"/>
            <w:shd w:val="clear" w:color="auto" w:fill="auto"/>
            <w:vAlign w:val="center"/>
          </w:tcPr>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备注：投标人在响应招标文件中规定的实质性要求和条件的基础上，可作出其他有利于采购人的承诺。此类承诺可在本表中予以补充填写。</w:t>
            </w:r>
          </w:p>
        </w:tc>
      </w:tr>
    </w:tbl>
    <w:p>
      <w:pPr>
        <w:spacing w:line="360" w:lineRule="auto"/>
        <w:ind w:firstLine="3372" w:firstLineChars="160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投标人（单位公章）：</w:t>
      </w:r>
    </w:p>
    <w:p>
      <w:pPr>
        <w:spacing w:line="360" w:lineRule="auto"/>
        <w:ind w:firstLine="3372" w:firstLineChars="160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法定代表人或委托代理人（签字或盖章）：</w:t>
      </w:r>
    </w:p>
    <w:p>
      <w:pPr>
        <w:spacing w:line="360" w:lineRule="auto"/>
        <w:ind w:firstLine="3372" w:firstLineChars="160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日期：</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w:t>
      </w:r>
    </w:p>
    <w:p>
      <w:pPr>
        <w:spacing w:line="360" w:lineRule="auto"/>
        <w:jc w:val="center"/>
        <w:rPr>
          <w:rFonts w:asciiTheme="minorEastAsia" w:hAnsiTheme="minorEastAsia" w:eastAsiaTheme="minorEastAsia"/>
          <w:color w:val="auto"/>
          <w:szCs w:val="21"/>
          <w:highlight w:val="none"/>
          <w:u w:val="single"/>
        </w:rPr>
        <w:sectPr>
          <w:pgSz w:w="11906" w:h="16838"/>
          <w:pgMar w:top="1440" w:right="1646" w:bottom="1440" w:left="2160" w:header="851" w:footer="992" w:gutter="0"/>
          <w:cols w:space="425" w:num="1"/>
          <w:titlePg/>
          <w:docGrid w:linePitch="312" w:charSpace="0"/>
        </w:sectPr>
      </w:pPr>
    </w:p>
    <w:p>
      <w:pPr>
        <w:tabs>
          <w:tab w:val="left" w:pos="425"/>
        </w:tabs>
        <w:spacing w:before="120" w:beforeLines="50" w:line="360" w:lineRule="auto"/>
        <w:ind w:firstLine="630"/>
        <w:outlineLvl w:val="2"/>
        <w:rPr>
          <w:rFonts w:asciiTheme="minorEastAsia" w:hAnsiTheme="minorEastAsia" w:eastAsiaTheme="minorEastAsia"/>
          <w:color w:val="auto"/>
          <w:szCs w:val="21"/>
          <w:highlight w:val="none"/>
        </w:rPr>
      </w:pPr>
      <w:bookmarkStart w:id="244" w:name="_Toc364679636"/>
      <w:bookmarkStart w:id="245" w:name="_Toc364682244"/>
      <w:bookmarkStart w:id="246" w:name="_Toc449306093"/>
      <w:bookmarkStart w:id="247" w:name="_Toc440870132"/>
      <w:r>
        <w:rPr>
          <w:rFonts w:hint="eastAsia" w:asciiTheme="minorEastAsia" w:hAnsiTheme="minorEastAsia" w:eastAsiaTheme="minorEastAsia"/>
          <w:color w:val="auto"/>
          <w:szCs w:val="21"/>
          <w:highlight w:val="none"/>
        </w:rPr>
        <w:t>（二）法定代表人证明及法定代表人授权委托书</w:t>
      </w:r>
      <w:bookmarkEnd w:id="244"/>
      <w:bookmarkEnd w:id="245"/>
      <w:bookmarkEnd w:id="246"/>
      <w:bookmarkEnd w:id="247"/>
    </w:p>
    <w:p>
      <w:pPr>
        <w:spacing w:before="240" w:beforeLines="100" w:line="360" w:lineRule="auto"/>
        <w:jc w:val="center"/>
        <w:rPr>
          <w:rFonts w:asciiTheme="minorEastAsia" w:hAnsiTheme="minorEastAsia" w:eastAsiaTheme="minorEastAsia"/>
          <w:color w:val="auto"/>
          <w:szCs w:val="21"/>
          <w:highlight w:val="none"/>
        </w:rPr>
      </w:pPr>
    </w:p>
    <w:p>
      <w:pPr>
        <w:spacing w:before="240" w:beforeLines="100" w:line="360" w:lineRule="auto"/>
        <w:jc w:val="center"/>
        <w:outlineLvl w:val="3"/>
        <w:rPr>
          <w:rFonts w:asciiTheme="minorEastAsia" w:hAnsiTheme="minorEastAsia" w:eastAsiaTheme="minorEastAsia"/>
          <w:color w:val="auto"/>
          <w:szCs w:val="21"/>
          <w:highlight w:val="none"/>
        </w:rPr>
      </w:pPr>
      <w:bookmarkStart w:id="248" w:name="_Toc364679637"/>
      <w:r>
        <w:rPr>
          <w:rFonts w:hint="eastAsia" w:asciiTheme="minorEastAsia" w:hAnsiTheme="minorEastAsia" w:eastAsiaTheme="minorEastAsia"/>
          <w:color w:val="auto"/>
          <w:szCs w:val="21"/>
          <w:highlight w:val="none"/>
        </w:rPr>
        <w:t>法定代表人证明</w:t>
      </w:r>
      <w:bookmarkEnd w:id="248"/>
    </w:p>
    <w:p>
      <w:pPr>
        <w:spacing w:line="360" w:lineRule="auto"/>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 标 人：</w:t>
      </w:r>
      <w:r>
        <w:rPr>
          <w:rFonts w:hint="eastAsia" w:asciiTheme="minorEastAsia" w:hAnsiTheme="minorEastAsia" w:eastAsiaTheme="minorEastAsia"/>
          <w:color w:val="auto"/>
          <w:szCs w:val="21"/>
          <w:highlight w:val="none"/>
          <w:u w:val="single"/>
        </w:rPr>
        <w:t xml:space="preserve">                                                        </w:t>
      </w:r>
    </w:p>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单位性质：</w:t>
      </w:r>
      <w:r>
        <w:rPr>
          <w:rFonts w:hint="eastAsia" w:asciiTheme="minorEastAsia" w:hAnsiTheme="minorEastAsia" w:eastAsiaTheme="minorEastAsia"/>
          <w:color w:val="auto"/>
          <w:szCs w:val="21"/>
          <w:highlight w:val="none"/>
          <w:u w:val="single"/>
        </w:rPr>
        <w:t xml:space="preserve">                                                        </w:t>
      </w:r>
    </w:p>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    址：</w:t>
      </w:r>
      <w:r>
        <w:rPr>
          <w:rFonts w:hint="eastAsia" w:asciiTheme="minorEastAsia" w:hAnsiTheme="minorEastAsia" w:eastAsiaTheme="minorEastAsia"/>
          <w:color w:val="auto"/>
          <w:szCs w:val="21"/>
          <w:highlight w:val="none"/>
          <w:u w:val="single"/>
        </w:rPr>
        <w:t xml:space="preserve">                                                        </w:t>
      </w:r>
    </w:p>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成立时间：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w:t>
      </w:r>
    </w:p>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经营期限：</w:t>
      </w:r>
      <w:r>
        <w:rPr>
          <w:rFonts w:hint="eastAsia" w:asciiTheme="minorEastAsia" w:hAnsiTheme="minorEastAsia" w:eastAsiaTheme="minorEastAsia"/>
          <w:color w:val="auto"/>
          <w:szCs w:val="21"/>
          <w:highlight w:val="none"/>
          <w:u w:val="single"/>
        </w:rPr>
        <w:t xml:space="preserve">                                                        </w:t>
      </w:r>
    </w:p>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姓    名：</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性        别：</w:t>
      </w:r>
      <w:r>
        <w:rPr>
          <w:rFonts w:hint="eastAsia" w:asciiTheme="minorEastAsia" w:hAnsiTheme="minorEastAsia" w:eastAsiaTheme="minorEastAsia"/>
          <w:color w:val="auto"/>
          <w:szCs w:val="21"/>
          <w:highlight w:val="none"/>
          <w:u w:val="single"/>
        </w:rPr>
        <w:t xml:space="preserve">                </w:t>
      </w:r>
    </w:p>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    龄：</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职        务：</w:t>
      </w:r>
      <w:r>
        <w:rPr>
          <w:rFonts w:hint="eastAsia" w:asciiTheme="minorEastAsia" w:hAnsiTheme="minorEastAsia" w:eastAsiaTheme="minorEastAsia"/>
          <w:color w:val="auto"/>
          <w:szCs w:val="21"/>
          <w:highlight w:val="none"/>
          <w:u w:val="single"/>
        </w:rPr>
        <w:t xml:space="preserve">                </w:t>
      </w:r>
    </w:p>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系</w:t>
      </w:r>
      <w:r>
        <w:rPr>
          <w:rFonts w:hint="eastAsia" w:asciiTheme="minorEastAsia" w:hAnsiTheme="minorEastAsia" w:eastAsiaTheme="minorEastAsia"/>
          <w:color w:val="auto"/>
          <w:szCs w:val="21"/>
          <w:highlight w:val="none"/>
          <w:u w:val="single"/>
        </w:rPr>
        <w:t xml:space="preserve">                 （投标人名称）                              </w:t>
      </w:r>
      <w:r>
        <w:rPr>
          <w:rFonts w:hint="eastAsia" w:asciiTheme="minorEastAsia" w:hAnsiTheme="minorEastAsia" w:eastAsiaTheme="minorEastAsia"/>
          <w:color w:val="auto"/>
          <w:szCs w:val="21"/>
          <w:highlight w:val="none"/>
        </w:rPr>
        <w:t>的法定代表人。</w:t>
      </w:r>
    </w:p>
    <w:p>
      <w:pPr>
        <w:spacing w:line="360" w:lineRule="auto"/>
        <w:ind w:firstLine="1470" w:firstLineChars="7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特此证明。</w:t>
      </w:r>
    </w:p>
    <w:p>
      <w:pPr>
        <w:spacing w:line="360" w:lineRule="auto"/>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p>
    <w:p>
      <w:pPr>
        <w:spacing w:line="360" w:lineRule="auto"/>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（单位公章）</w:t>
      </w:r>
    </w:p>
    <w:p>
      <w:pPr>
        <w:spacing w:line="360" w:lineRule="auto"/>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w:t>
      </w:r>
    </w:p>
    <w:p>
      <w:pPr>
        <w:spacing w:line="360" w:lineRule="auto"/>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mc:AlternateContent>
          <mc:Choice Requires="wps">
            <w:drawing>
              <wp:anchor distT="45720" distB="45720" distL="114300" distR="114300" simplePos="0" relativeHeight="251659264" behindDoc="0" locked="0" layoutInCell="1" allowOverlap="1">
                <wp:simplePos x="0" y="0"/>
                <wp:positionH relativeFrom="column">
                  <wp:posOffset>97790</wp:posOffset>
                </wp:positionH>
                <wp:positionV relativeFrom="paragraph">
                  <wp:posOffset>-116205</wp:posOffset>
                </wp:positionV>
                <wp:extent cx="3112135" cy="1584960"/>
                <wp:effectExtent l="10160" t="6985" r="11430" b="8255"/>
                <wp:wrapSquare wrapText="bothSides"/>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112135" cy="1584960"/>
                        </a:xfrm>
                        <a:prstGeom prst="rect">
                          <a:avLst/>
                        </a:prstGeom>
                        <a:solidFill>
                          <a:srgbClr val="FFFFFF"/>
                        </a:solidFill>
                        <a:ln w="9525">
                          <a:solidFill>
                            <a:srgbClr val="000000"/>
                          </a:solidFill>
                          <a:prstDash val="dash"/>
                          <a:miter lim="800000"/>
                        </a:ln>
                      </wps:spPr>
                      <wps:txbx>
                        <w:txbxContent>
                          <w:p>
                            <w:r>
                              <w:t>粘贴法定代表人身份证</w:t>
                            </w:r>
                            <w:r>
                              <w:rPr>
                                <w:highlight w:val="none"/>
                              </w:rPr>
                              <w:t>原件</w:t>
                            </w:r>
                            <w:r>
                              <w:rPr>
                                <w:rFonts w:hint="eastAsia"/>
                                <w:highlight w:val="none"/>
                              </w:rPr>
                              <w:t>正反面</w:t>
                            </w:r>
                            <w:r>
                              <w:rPr>
                                <w:highlight w:val="none"/>
                              </w:rPr>
                              <w:t>的</w:t>
                            </w:r>
                            <w:r>
                              <w:rPr>
                                <w:rFonts w:hint="eastAsia"/>
                                <w:highlight w:val="none"/>
                              </w:rPr>
                              <w:t>扫描</w:t>
                            </w:r>
                            <w:r>
                              <w:t>件</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7.7pt;margin-top:-9.15pt;height:124.8pt;width:245.05pt;mso-wrap-distance-bottom:3.6pt;mso-wrap-distance-left:9pt;mso-wrap-distance-right:9pt;mso-wrap-distance-top:3.6pt;z-index:251659264;mso-width-relative:page;mso-height-relative:page;" fillcolor="#FFFFFF" filled="t" stroked="t" coordsize="21600,21600" o:gfxdata="UEsDBAoAAAAAAIdO4kAAAAAAAAAAAAAAAAAEAAAAZHJzL1BLAwQUAAAACACHTuJAjA8TJNgAAAAK&#10;AQAADwAAAGRycy9kb3ducmV2LnhtbE2Py26DMBBF95X6D9ZU6i6xgdIggsmiz12k0iy6HLB5KHiM&#10;sAPp39ddtcurObr3THG4mpEtenaDJQnRVgDT1Fg1UCfh9Pm6yYA5j6RwtKQlfGsHh/L2psBc2ZU+&#10;9FL5joUScjlK6L2fcs5d02uDbmsnTeHW2tmgD3HuuJpxDeVm5LEQj9zgQGGhx0k/9bo5Vxcj4fju&#10;snr3sny9VSf7fFx3LaZxK+X9XST2wLy++j8YfvWDOpTBqbYXUo6NIacPgZSwibIEWABSkabAaglx&#10;EiXAy4L/f6H8AVBLAwQUAAAACACHTuJAfpah8jQCAABSBAAADgAAAGRycy9lMm9Eb2MueG1srVTN&#10;jtMwEL4j8Q6W7zRNt91to6arpVUR0vIjLTyA4ziJheMxtttkeQB4A05cuPNcfQ7GTrdUC1wQOVge&#10;z/ibme/zZHndt4rshXUSdE7T0ZgSoTmUUtc5ff9u+2xOifNMl0yBFjm9F45er54+WXYmExNoQJXC&#10;EgTRLutMThvvTZYkjjeiZW4ERmh0VmBb5tG0dVJa1iF6q5LJeHyZdGBLY4EL5/B0MzjpKuJXleD+&#10;TVU54YnKKdbm42rjWoQ1WS1ZVltmGsmPZbB/qKJlUmPSE9SGeUZ2Vv4G1UpuwUHlRxzaBKpKchF7&#10;wG7S8aNu7hpmROwFyXHmRJP7f7D89f6tJbLM6RUlmrUo0eHrl8O3H4fvn8kk0NMZl2HUncE43z+H&#10;HmWOrTpzC/yDIxrWDdO1uLEWukawEstLw83k7OqA4wJI0b2CEvOwnYcI1Fe2DdwhGwTRUab7kzSi&#10;94Tj4UWaTtKLGSUcfelsPl1cRvESlj1cN9b5FwJaEjY5tah9hGf7W+dDOSx7CAnZHChZbqVS0bB1&#10;sVaW7Bm+k238YgePwpQmXU4Xs8lsYOCvEOP4/QkilLBhrhlSlbgLUSxrpcdBULLN6fz8stJHIgN3&#10;A4u+L/qjMAWU90ipheFh4yDipgH7iZIOH3VO3ccds4IS9VKjLIt0Og1TEI3p7GqChj33FOcepjlC&#10;5dRTMmzXfpicnbGybjDT8BA03KCUlYwkB82Hqo5148ON3B+HLEzGuR2jfv0KV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A8TJNgAAAAKAQAADwAAAAAAAAABACAAAAAiAAAAZHJzL2Rvd25yZXYu&#10;eG1sUEsBAhQAFAAAAAgAh07iQH6WofI0AgAAUgQAAA4AAAAAAAAAAQAgAAAAJwEAAGRycy9lMm9E&#10;b2MueG1sUEsFBgAAAAAGAAYAWQEAAM0FAAAAAA==&#10;">
                <v:fill on="t" focussize="0,0"/>
                <v:stroke color="#000000" miterlimit="8" joinstyle="miter" dashstyle="dash"/>
                <v:imagedata o:title=""/>
                <o:lock v:ext="edit" aspectratio="f"/>
                <v:textbox>
                  <w:txbxContent>
                    <w:p>
                      <w:r>
                        <w:t>粘贴法定代表人身份证</w:t>
                      </w:r>
                      <w:r>
                        <w:rPr>
                          <w:highlight w:val="none"/>
                        </w:rPr>
                        <w:t>原件</w:t>
                      </w:r>
                      <w:r>
                        <w:rPr>
                          <w:rFonts w:hint="eastAsia"/>
                          <w:highlight w:val="none"/>
                        </w:rPr>
                        <w:t>正反面</w:t>
                      </w:r>
                      <w:r>
                        <w:rPr>
                          <w:highlight w:val="none"/>
                        </w:rPr>
                        <w:t>的</w:t>
                      </w:r>
                      <w:r>
                        <w:rPr>
                          <w:rFonts w:hint="eastAsia"/>
                          <w:highlight w:val="none"/>
                        </w:rPr>
                        <w:t>扫描</w:t>
                      </w:r>
                      <w:r>
                        <w:t>件</w:t>
                      </w:r>
                    </w:p>
                  </w:txbxContent>
                </v:textbox>
                <w10:wrap type="square"/>
              </v:shape>
            </w:pict>
          </mc:Fallback>
        </mc:AlternateContent>
      </w:r>
    </w:p>
    <w:p>
      <w:pPr>
        <w:spacing w:line="360" w:lineRule="auto"/>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p>
    <w:p>
      <w:pPr>
        <w:spacing w:before="240" w:beforeLines="100" w:line="360" w:lineRule="auto"/>
        <w:jc w:val="center"/>
        <w:outlineLvl w:val="3"/>
        <w:rPr>
          <w:rFonts w:asciiTheme="minorEastAsia" w:hAnsiTheme="minorEastAsia" w:eastAsiaTheme="minorEastAsia"/>
          <w:color w:val="auto"/>
          <w:szCs w:val="21"/>
          <w:highlight w:val="none"/>
        </w:rPr>
      </w:pPr>
      <w:bookmarkStart w:id="249" w:name="_Toc364679638"/>
      <w:r>
        <w:rPr>
          <w:rFonts w:hint="eastAsia" w:asciiTheme="minorEastAsia" w:hAnsiTheme="minorEastAsia" w:eastAsiaTheme="minorEastAsia"/>
          <w:color w:val="auto"/>
          <w:szCs w:val="21"/>
          <w:highlight w:val="none"/>
        </w:rPr>
        <w:t>授权委托书</w:t>
      </w:r>
      <w:bookmarkEnd w:id="249"/>
    </w:p>
    <w:p>
      <w:pPr>
        <w:spacing w:line="360" w:lineRule="auto"/>
        <w:ind w:firstLine="420" w:firstLineChars="200"/>
        <w:rPr>
          <w:rFonts w:asciiTheme="minorEastAsia" w:hAnsiTheme="minorEastAsia" w:eastAsiaTheme="minorEastAsia"/>
          <w:color w:val="auto"/>
          <w:szCs w:val="21"/>
          <w:highlight w:val="none"/>
        </w:rPr>
      </w:pP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本人</w:t>
      </w:r>
      <w:r>
        <w:rPr>
          <w:rFonts w:hint="eastAsia" w:asciiTheme="minorEastAsia" w:hAnsiTheme="minorEastAsia" w:eastAsiaTheme="minorEastAsia"/>
          <w:color w:val="auto"/>
          <w:szCs w:val="21"/>
          <w:highlight w:val="none"/>
          <w:u w:val="single"/>
        </w:rPr>
        <w:t xml:space="preserve">   （姓名）      </w:t>
      </w:r>
      <w:r>
        <w:rPr>
          <w:rFonts w:hint="eastAsia" w:asciiTheme="minorEastAsia" w:hAnsiTheme="minorEastAsia" w:eastAsiaTheme="minorEastAsia"/>
          <w:color w:val="auto"/>
          <w:szCs w:val="21"/>
          <w:highlight w:val="none"/>
        </w:rPr>
        <w:t>系</w:t>
      </w:r>
      <w:r>
        <w:rPr>
          <w:rFonts w:hint="eastAsia" w:asciiTheme="minorEastAsia" w:hAnsiTheme="minorEastAsia" w:eastAsiaTheme="minorEastAsia"/>
          <w:color w:val="auto"/>
          <w:szCs w:val="21"/>
          <w:highlight w:val="none"/>
          <w:u w:val="single"/>
        </w:rPr>
        <w:t xml:space="preserve">    （投标人名称）     </w:t>
      </w:r>
      <w:r>
        <w:rPr>
          <w:rFonts w:hint="eastAsia" w:asciiTheme="minorEastAsia" w:hAnsiTheme="minorEastAsia" w:eastAsiaTheme="minorEastAsia"/>
          <w:color w:val="auto"/>
          <w:szCs w:val="21"/>
          <w:highlight w:val="none"/>
        </w:rPr>
        <w:t>的法定代表人，现授权</w:t>
      </w:r>
      <w:r>
        <w:rPr>
          <w:rFonts w:hint="eastAsia" w:asciiTheme="minorEastAsia" w:hAnsiTheme="minorEastAsia" w:eastAsiaTheme="minorEastAsia"/>
          <w:color w:val="auto"/>
          <w:szCs w:val="21"/>
          <w:highlight w:val="none"/>
          <w:u w:val="single"/>
        </w:rPr>
        <w:t xml:space="preserve">  （姓名）    </w:t>
      </w:r>
      <w:r>
        <w:rPr>
          <w:rFonts w:hint="eastAsia" w:asciiTheme="minorEastAsia" w:hAnsiTheme="minorEastAsia" w:eastAsiaTheme="minorEastAsia"/>
          <w:color w:val="auto"/>
          <w:szCs w:val="21"/>
          <w:highlight w:val="none"/>
        </w:rPr>
        <w:t>为我方代理人。代理人根据授权，以我方名义签署、澄清、说明、提交、撤回、修改</w:t>
      </w:r>
      <w:r>
        <w:rPr>
          <w:rFonts w:hint="eastAsia" w:asciiTheme="minorEastAsia" w:hAnsiTheme="minorEastAsia" w:eastAsiaTheme="minorEastAsia"/>
          <w:color w:val="auto"/>
          <w:szCs w:val="21"/>
          <w:highlight w:val="none"/>
          <w:u w:val="single"/>
        </w:rPr>
        <w:t xml:space="preserve">（项目名称、项目编号、标段号） </w:t>
      </w:r>
      <w:r>
        <w:rPr>
          <w:rFonts w:hint="eastAsia" w:asciiTheme="minorEastAsia" w:hAnsiTheme="minorEastAsia" w:eastAsiaTheme="minorEastAsia"/>
          <w:color w:val="auto"/>
          <w:szCs w:val="21"/>
          <w:highlight w:val="none"/>
        </w:rPr>
        <w:t xml:space="preserve"> 的施工投标文件、签订合同和处理有关事宜，其法律后果由我方承担。</w:t>
      </w:r>
    </w:p>
    <w:p>
      <w:pPr>
        <w:spacing w:line="360" w:lineRule="auto"/>
        <w:ind w:firstLine="420" w:firstLineChars="200"/>
        <w:rPr>
          <w:rFonts w:ascii="宋体" w:hAnsi="宋体"/>
          <w:color w:val="auto"/>
          <w:highlight w:val="none"/>
        </w:rPr>
      </w:pPr>
      <w:r>
        <w:rPr>
          <w:color w:val="auto"/>
          <w:highlight w:val="none"/>
        </w:rPr>
        <w:t>本授权书于______ 年____月_____日至______ 年____月_____日有效</w:t>
      </w:r>
      <w:r>
        <w:rPr>
          <w:color w:val="auto"/>
          <w:szCs w:val="21"/>
          <w:highlight w:val="none"/>
        </w:rPr>
        <w:t>，代理人无转委托权。</w:t>
      </w:r>
    </w:p>
    <w:p>
      <w:pPr>
        <w:spacing w:before="240" w:beforeLines="100" w:after="240" w:afterLines="100"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mc:AlternateContent>
          <mc:Choice Requires="wps">
            <w:drawing>
              <wp:anchor distT="0" distB="0" distL="114300" distR="114300" simplePos="0" relativeHeight="251658240" behindDoc="0" locked="0" layoutInCell="1" allowOverlap="1">
                <wp:simplePos x="0" y="0"/>
                <wp:positionH relativeFrom="column">
                  <wp:posOffset>53340</wp:posOffset>
                </wp:positionH>
                <wp:positionV relativeFrom="paragraph">
                  <wp:posOffset>261620</wp:posOffset>
                </wp:positionV>
                <wp:extent cx="4000500" cy="2771140"/>
                <wp:effectExtent l="7620" t="9525" r="11430" b="10160"/>
                <wp:wrapSquare wrapText="bothSides"/>
                <wp:docPr id="6" name="Text Box 9"/>
                <wp:cNvGraphicFramePr/>
                <a:graphic xmlns:a="http://schemas.openxmlformats.org/drawingml/2006/main">
                  <a:graphicData uri="http://schemas.microsoft.com/office/word/2010/wordprocessingShape">
                    <wps:wsp>
                      <wps:cNvSpPr txBox="1">
                        <a:spLocks noChangeArrowheads="1"/>
                      </wps:cNvSpPr>
                      <wps:spPr bwMode="auto">
                        <a:xfrm>
                          <a:off x="0" y="0"/>
                          <a:ext cx="4000500" cy="2771140"/>
                        </a:xfrm>
                        <a:prstGeom prst="rect">
                          <a:avLst/>
                        </a:prstGeom>
                        <a:solidFill>
                          <a:srgbClr val="FFFFFF"/>
                        </a:solidFill>
                        <a:ln w="9525">
                          <a:solidFill>
                            <a:srgbClr val="000000"/>
                          </a:solidFill>
                          <a:miter lim="800000"/>
                        </a:ln>
                      </wps:spPr>
                      <wps:txbx>
                        <w:txbxContent>
                          <w:p>
                            <w:pPr>
                              <w:spacing w:after="240" w:afterLines="100" w:line="500" w:lineRule="exact"/>
                              <w:ind w:firstLine="420" w:firstLineChars="200"/>
                              <w:rPr>
                                <w:rFonts w:ascii="宋体" w:hAnsi="宋体"/>
                                <w:szCs w:val="21"/>
                                <w:highlight w:val="none"/>
                              </w:rPr>
                            </w:pPr>
                          </w:p>
                          <w:p>
                            <w:pPr>
                              <w:spacing w:after="240" w:afterLines="100" w:line="500" w:lineRule="exact"/>
                              <w:ind w:firstLine="420" w:firstLineChars="200"/>
                              <w:rPr>
                                <w:rFonts w:ascii="宋体" w:hAnsi="宋体"/>
                                <w:szCs w:val="21"/>
                                <w:highlight w:val="none"/>
                              </w:rPr>
                            </w:pPr>
                          </w:p>
                          <w:p>
                            <w:pPr>
                              <w:spacing w:after="240" w:afterLines="100" w:line="500" w:lineRule="exact"/>
                              <w:ind w:firstLine="840" w:firstLineChars="400"/>
                              <w:rPr>
                                <w:rFonts w:ascii="宋体" w:hAnsi="宋体"/>
                                <w:szCs w:val="21"/>
                                <w:highlight w:val="none"/>
                              </w:rPr>
                            </w:pPr>
                            <w:r>
                              <w:rPr>
                                <w:rFonts w:ascii="宋体" w:hAnsi="宋体"/>
                                <w:szCs w:val="21"/>
                                <w:highlight w:val="none"/>
                              </w:rPr>
                              <w:t>粘贴被授权人身份证原件</w:t>
                            </w:r>
                            <w:r>
                              <w:rPr>
                                <w:rFonts w:hint="eastAsia" w:ascii="宋体" w:hAnsi="宋体"/>
                                <w:szCs w:val="21"/>
                                <w:highlight w:val="none"/>
                              </w:rPr>
                              <w:t>正反面</w:t>
                            </w:r>
                            <w:r>
                              <w:rPr>
                                <w:rFonts w:ascii="宋体" w:hAnsi="宋体"/>
                                <w:szCs w:val="21"/>
                                <w:highlight w:val="none"/>
                              </w:rPr>
                              <w:t>的扫描件</w:t>
                            </w:r>
                          </w:p>
                        </w:txbxContent>
                      </wps:txbx>
                      <wps:bodyPr rot="0" vert="horz" wrap="square" lIns="91440" tIns="45720" rIns="91440" bIns="45720" anchor="t" anchorCtr="0" upright="1">
                        <a:noAutofit/>
                      </wps:bodyPr>
                    </wps:wsp>
                  </a:graphicData>
                </a:graphic>
              </wp:anchor>
            </w:drawing>
          </mc:Choice>
          <mc:Fallback>
            <w:pict>
              <v:shape id="Text Box 9" o:spid="_x0000_s1026" o:spt="202" type="#_x0000_t202" style="position:absolute;left:0pt;margin-left:4.2pt;margin-top:20.6pt;height:218.2pt;width:315pt;mso-wrap-distance-bottom:0pt;mso-wrap-distance-left:9pt;mso-wrap-distance-right:9pt;mso-wrap-distance-top:0pt;z-index:251658240;mso-width-relative:page;mso-height-relative:page;" fillcolor="#FFFFFF" filled="t" stroked="t" coordsize="21600,21600" o:gfxdata="UEsDBAoAAAAAAIdO4kAAAAAAAAAAAAAAAAAEAAAAZHJzL1BLAwQUAAAACACHTuJA7RPMu9YAAAAI&#10;AQAADwAAAGRycy9kb3ducmV2LnhtbE2PwU7DMBBE70j8g7VIXBB10lZJCXF6QALBjRbUXt14m0TE&#10;62C7afl7Nic47szo7Uy5vthejOhD50hBOktAINXOdNQo+Px4vl+BCFGT0b0jVPCDAdbV9VWpC+PO&#10;tMFxGxvBEAqFVtDGOBRShrpFq8PMDUjsHZ23OvLpG2m8PjPc9nKeJJm0uiP+0OoBn1qsv7Ynq2C1&#10;fB334W3xvquzY/8Q7/Lx5dsrdXuTJo8gIl7iXxim+lwdKu50cCcyQfQTg4MKlukcBNvZYhIOLOR5&#10;BrIq5f8B1S9QSwMEFAAAAAgAh07iQOmljMQVAgAAOQQAAA4AAABkcnMvZTJvRG9jLnhtbK1TUW/b&#10;IBB+n7T/gHhfbEdJ01hxqi5VpkndOqndD8AY22jAMSCxu1+/A6dZ1G0v03hAHHd83H3f3eZm1Ioc&#10;hfMSTEWLWU6JMBwaabqKfn3av7umxAdmGqbAiIo+C09vtm/fbAZbijn0oBrhCIIYXw62on0Itswy&#10;z3uhmZ+BFQadLTjNApquyxrHBkTXKpvn+VU2gGusAy68x9u7yUm3Cb9tBQ8PbetFIKqimFtIu0t7&#10;Hfdsu2Fl55jtJT+lwf4hC82kwU/PUHcsMHJw8jcoLbkDD22YcdAZtK3kItWA1RT5q2oee2ZFqgXJ&#10;8fZMk/9/sPzz8YsjsqnoFSWGaZToSYyBvIeRrCM7g/UlBj1aDAsjXqPKqVJv74F/88TArmemE7fO&#10;wdAL1mB2RXyZXTydcHwEqYdP0OA37BAgAY2t05E6JIMgOqr0fFYmpsLxcpHn+TJHF0fffLUqikXS&#10;LmPly3PrfPggQJN4qKhD6RM8O977ENNh5UtI/M2Dks1eKpUM19U75ciRYZvs00oVvApThgwVXS/n&#10;y4mBv0Jgtrj+BKFlwH5XUlf0+jJImRNhkaOJrTDW40mAGppnpM7B1L84b3jowf2gZMDeraj/fmBO&#10;UKI+GqR/XSyQHhKSsViu5mi4S0996WGGI1RFAyXTcRemATlYJ7sef5oEN3CLkrUykRm1nbI65Y39&#10;mTg+zVIcgEs7Rf2a+O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RPMu9YAAAAIAQAADwAAAAAA&#10;AAABACAAAAAiAAAAZHJzL2Rvd25yZXYueG1sUEsBAhQAFAAAAAgAh07iQOmljMQVAgAAOQQAAA4A&#10;AAAAAAAAAQAgAAAAJQEAAGRycy9lMm9Eb2MueG1sUEsFBgAAAAAGAAYAWQEAAKwFAAAAAA==&#10;">
                <v:fill on="t" focussize="0,0"/>
                <v:stroke color="#000000" miterlimit="8" joinstyle="miter"/>
                <v:imagedata o:title=""/>
                <o:lock v:ext="edit" aspectratio="f"/>
                <v:textbox>
                  <w:txbxContent>
                    <w:p>
                      <w:pPr>
                        <w:spacing w:after="240" w:afterLines="100" w:line="500" w:lineRule="exact"/>
                        <w:ind w:firstLine="420" w:firstLineChars="200"/>
                        <w:rPr>
                          <w:rFonts w:ascii="宋体" w:hAnsi="宋体"/>
                          <w:szCs w:val="21"/>
                          <w:highlight w:val="none"/>
                        </w:rPr>
                      </w:pPr>
                    </w:p>
                    <w:p>
                      <w:pPr>
                        <w:spacing w:after="240" w:afterLines="100" w:line="500" w:lineRule="exact"/>
                        <w:ind w:firstLine="420" w:firstLineChars="200"/>
                        <w:rPr>
                          <w:rFonts w:ascii="宋体" w:hAnsi="宋体"/>
                          <w:szCs w:val="21"/>
                          <w:highlight w:val="none"/>
                        </w:rPr>
                      </w:pPr>
                    </w:p>
                    <w:p>
                      <w:pPr>
                        <w:spacing w:after="240" w:afterLines="100" w:line="500" w:lineRule="exact"/>
                        <w:ind w:firstLine="840" w:firstLineChars="400"/>
                        <w:rPr>
                          <w:rFonts w:ascii="宋体" w:hAnsi="宋体"/>
                          <w:szCs w:val="21"/>
                          <w:highlight w:val="none"/>
                        </w:rPr>
                      </w:pPr>
                      <w:r>
                        <w:rPr>
                          <w:rFonts w:ascii="宋体" w:hAnsi="宋体"/>
                          <w:szCs w:val="21"/>
                          <w:highlight w:val="none"/>
                        </w:rPr>
                        <w:t>粘贴被授权人身份证原件</w:t>
                      </w:r>
                      <w:r>
                        <w:rPr>
                          <w:rFonts w:hint="eastAsia" w:ascii="宋体" w:hAnsi="宋体"/>
                          <w:szCs w:val="21"/>
                          <w:highlight w:val="none"/>
                        </w:rPr>
                        <w:t>正反面</w:t>
                      </w:r>
                      <w:r>
                        <w:rPr>
                          <w:rFonts w:ascii="宋体" w:hAnsi="宋体"/>
                          <w:szCs w:val="21"/>
                          <w:highlight w:val="none"/>
                        </w:rPr>
                        <w:t>的扫描件</w:t>
                      </w:r>
                    </w:p>
                  </w:txbxContent>
                </v:textbox>
                <w10:wrap type="square"/>
              </v:shape>
            </w:pict>
          </mc:Fallback>
        </mc:AlternateContent>
      </w:r>
      <w:r>
        <w:rPr>
          <w:rFonts w:ascii="宋体" w:hAnsi="宋体"/>
          <w:color w:val="auto"/>
          <w:highlight w:val="none"/>
        </w:rPr>
        <w:t>特此声明。</w:t>
      </w:r>
    </w:p>
    <w:p>
      <w:pPr>
        <w:spacing w:line="360" w:lineRule="auto"/>
        <w:rPr>
          <w:rFonts w:asciiTheme="minorEastAsia" w:hAnsiTheme="minorEastAsia" w:eastAsiaTheme="minorEastAsia"/>
          <w:color w:val="auto"/>
          <w:szCs w:val="21"/>
          <w:highlight w:val="none"/>
        </w:rPr>
      </w:pPr>
    </w:p>
    <w:p>
      <w:pPr>
        <w:spacing w:line="360" w:lineRule="auto"/>
        <w:ind w:firstLine="3570" w:firstLineChars="1700"/>
        <w:rPr>
          <w:rFonts w:asciiTheme="minorEastAsia" w:hAnsiTheme="minorEastAsia" w:eastAsiaTheme="minorEastAsia"/>
          <w:color w:val="auto"/>
          <w:szCs w:val="21"/>
          <w:highlight w:val="none"/>
        </w:rPr>
      </w:pPr>
    </w:p>
    <w:p>
      <w:pPr>
        <w:spacing w:line="360" w:lineRule="auto"/>
        <w:ind w:firstLine="3570" w:firstLineChars="1700"/>
        <w:rPr>
          <w:rFonts w:asciiTheme="minorEastAsia" w:hAnsiTheme="minorEastAsia" w:eastAsiaTheme="minorEastAsia"/>
          <w:color w:val="auto"/>
          <w:szCs w:val="21"/>
          <w:highlight w:val="none"/>
        </w:rPr>
      </w:pPr>
    </w:p>
    <w:p>
      <w:pPr>
        <w:spacing w:line="360" w:lineRule="auto"/>
        <w:ind w:firstLine="3570" w:firstLineChars="1700"/>
        <w:rPr>
          <w:rFonts w:asciiTheme="minorEastAsia" w:hAnsiTheme="minorEastAsia" w:eastAsiaTheme="minorEastAsia"/>
          <w:color w:val="auto"/>
          <w:szCs w:val="21"/>
          <w:highlight w:val="none"/>
        </w:rPr>
      </w:pPr>
    </w:p>
    <w:p>
      <w:pPr>
        <w:spacing w:line="360" w:lineRule="auto"/>
        <w:ind w:firstLine="3570" w:firstLineChars="1700"/>
        <w:rPr>
          <w:rFonts w:asciiTheme="minorEastAsia" w:hAnsiTheme="minorEastAsia" w:eastAsiaTheme="minorEastAsia"/>
          <w:color w:val="auto"/>
          <w:szCs w:val="21"/>
          <w:highlight w:val="none"/>
        </w:rPr>
      </w:pPr>
    </w:p>
    <w:p>
      <w:pPr>
        <w:spacing w:line="360" w:lineRule="auto"/>
        <w:ind w:firstLine="3570" w:firstLineChars="1700"/>
        <w:rPr>
          <w:rFonts w:asciiTheme="minorEastAsia" w:hAnsiTheme="minorEastAsia" w:eastAsiaTheme="minorEastAsia"/>
          <w:color w:val="auto"/>
          <w:szCs w:val="21"/>
          <w:highlight w:val="none"/>
        </w:rPr>
      </w:pPr>
    </w:p>
    <w:p>
      <w:pPr>
        <w:spacing w:line="360" w:lineRule="auto"/>
        <w:jc w:val="right"/>
        <w:rPr>
          <w:rFonts w:hint="eastAsia" w:asciiTheme="minorEastAsia" w:hAnsiTheme="minorEastAsia" w:eastAsiaTheme="minorEastAsia"/>
          <w:color w:val="auto"/>
          <w:szCs w:val="21"/>
          <w:highlight w:val="none"/>
        </w:rPr>
      </w:pPr>
    </w:p>
    <w:p>
      <w:pPr>
        <w:spacing w:line="360" w:lineRule="auto"/>
        <w:jc w:val="right"/>
        <w:rPr>
          <w:rFonts w:hint="eastAsia" w:asciiTheme="minorEastAsia" w:hAnsiTheme="minorEastAsia" w:eastAsiaTheme="minorEastAsia"/>
          <w:color w:val="auto"/>
          <w:szCs w:val="21"/>
          <w:highlight w:val="none"/>
        </w:rPr>
      </w:pPr>
    </w:p>
    <w:p>
      <w:pPr>
        <w:spacing w:line="360" w:lineRule="auto"/>
        <w:jc w:val="right"/>
        <w:rPr>
          <w:rFonts w:hint="eastAsia" w:asciiTheme="minorEastAsia" w:hAnsiTheme="minorEastAsia" w:eastAsiaTheme="minorEastAsia"/>
          <w:color w:val="auto"/>
          <w:szCs w:val="21"/>
          <w:highlight w:val="none"/>
        </w:rPr>
      </w:pPr>
    </w:p>
    <w:p>
      <w:pPr>
        <w:spacing w:line="360" w:lineRule="auto"/>
        <w:jc w:val="right"/>
        <w:rPr>
          <w:rFonts w:hint="eastAsia" w:asciiTheme="minorEastAsia" w:hAnsiTheme="minorEastAsia" w:eastAsiaTheme="minorEastAsia"/>
          <w:color w:val="auto"/>
          <w:szCs w:val="21"/>
          <w:highlight w:val="none"/>
        </w:rPr>
      </w:pPr>
    </w:p>
    <w:p>
      <w:pPr>
        <w:spacing w:line="360" w:lineRule="auto"/>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  标  人：</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（单位公章）</w:t>
      </w:r>
    </w:p>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法定代表人：</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（签字或盖章）</w:t>
      </w:r>
    </w:p>
    <w:p>
      <w:pPr>
        <w:spacing w:line="360" w:lineRule="auto"/>
        <w:ind w:firstLine="3360" w:firstLineChars="16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身份证号码：</w:t>
      </w:r>
      <w:r>
        <w:rPr>
          <w:rFonts w:hint="eastAsia" w:asciiTheme="minorEastAsia" w:hAnsiTheme="minorEastAsia" w:eastAsiaTheme="minorEastAsia"/>
          <w:color w:val="auto"/>
          <w:szCs w:val="21"/>
          <w:highlight w:val="none"/>
          <w:u w:val="single"/>
        </w:rPr>
        <w:t xml:space="preserve">                                   </w:t>
      </w:r>
    </w:p>
    <w:p>
      <w:pPr>
        <w:spacing w:line="360" w:lineRule="auto"/>
        <w:ind w:firstLine="3360" w:firstLineChars="16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委托代理人：</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（签字或盖章）</w:t>
      </w:r>
    </w:p>
    <w:p>
      <w:pPr>
        <w:spacing w:line="360" w:lineRule="auto"/>
        <w:ind w:firstLine="3360" w:firstLineChars="16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身份证号码：</w:t>
      </w:r>
      <w:r>
        <w:rPr>
          <w:rFonts w:hint="eastAsia" w:asciiTheme="minorEastAsia" w:hAnsiTheme="minorEastAsia" w:eastAsiaTheme="minorEastAsia"/>
          <w:color w:val="auto"/>
          <w:szCs w:val="21"/>
          <w:highlight w:val="none"/>
          <w:u w:val="single"/>
        </w:rPr>
        <w:t xml:space="preserve">                                   </w:t>
      </w:r>
    </w:p>
    <w:p>
      <w:pPr>
        <w:spacing w:line="360" w:lineRule="auto"/>
        <w:ind w:firstLine="4830" w:firstLineChars="23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w:t>
      </w:r>
    </w:p>
    <w:p>
      <w:pPr>
        <w:pStyle w:val="4"/>
        <w:rPr>
          <w:color w:val="auto"/>
          <w:highlight w:val="none"/>
        </w:rPr>
      </w:pPr>
      <w:r>
        <w:rPr>
          <w:rFonts w:asciiTheme="minorEastAsia" w:hAnsiTheme="minorEastAsia" w:eastAsiaTheme="minorEastAsia"/>
          <w:color w:val="auto"/>
          <w:highlight w:val="none"/>
        </w:rPr>
        <w:br w:type="page"/>
      </w:r>
      <w:r>
        <w:rPr>
          <w:rFonts w:hint="eastAsia"/>
          <w:color w:val="auto"/>
          <w:highlight w:val="none"/>
        </w:rPr>
        <w:t>（三）已标价工程量清单</w:t>
      </w:r>
    </w:p>
    <w:p>
      <w:pPr>
        <w:spacing w:before="240" w:beforeLines="100" w:after="120" w:afterLines="50" w:line="360" w:lineRule="auto"/>
        <w:jc w:val="center"/>
        <w:rPr>
          <w:rFonts w:ascii="宋体" w:hAnsi="宋体"/>
          <w:color w:val="auto"/>
          <w:szCs w:val="21"/>
          <w:highlight w:val="none"/>
        </w:rPr>
      </w:pPr>
      <w:r>
        <w:rPr>
          <w:rFonts w:hint="eastAsia" w:ascii="宋体" w:hAnsi="宋体"/>
          <w:color w:val="auto"/>
          <w:szCs w:val="21"/>
          <w:highlight w:val="none"/>
        </w:rPr>
        <w:t>已标价工程量清单</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说明：已标价工程量清单按第五章“工程量清单”中的相关清单表格式填写。构成合同文件的已标价工程量清单包括第五章“工程量清单”有关工程量清单、投标报价以及其他说明的内容。</w:t>
      </w:r>
    </w:p>
    <w:p>
      <w:pPr>
        <w:spacing w:before="240" w:beforeLines="100" w:after="120" w:afterLines="50" w:line="360" w:lineRule="auto"/>
        <w:rPr>
          <w:rFonts w:asciiTheme="minorEastAsia" w:hAnsiTheme="minorEastAsia" w:eastAsiaTheme="minorEastAsia"/>
          <w:color w:val="auto"/>
          <w:szCs w:val="21"/>
          <w:highlight w:val="none"/>
        </w:rPr>
      </w:pPr>
    </w:p>
    <w:p>
      <w:pPr>
        <w:spacing w:before="240" w:beforeLines="100" w:after="120" w:afterLines="50" w:line="360" w:lineRule="auto"/>
        <w:jc w:val="center"/>
        <w:rPr>
          <w:rFonts w:asciiTheme="minorEastAsia" w:hAnsiTheme="minorEastAsia" w:eastAsiaTheme="minorEastAsia"/>
          <w:color w:val="auto"/>
          <w:szCs w:val="21"/>
          <w:highlight w:val="none"/>
        </w:rPr>
      </w:pPr>
    </w:p>
    <w:p>
      <w:pPr>
        <w:spacing w:before="240" w:beforeLines="100" w:after="120" w:afterLines="50" w:line="360" w:lineRule="auto"/>
        <w:jc w:val="center"/>
        <w:rPr>
          <w:rFonts w:asciiTheme="minorEastAsia" w:hAnsiTheme="minorEastAsia" w:eastAsiaTheme="minorEastAsia"/>
          <w:color w:val="auto"/>
          <w:szCs w:val="21"/>
          <w:highlight w:val="none"/>
        </w:rPr>
      </w:pPr>
    </w:p>
    <w:p>
      <w:pPr>
        <w:spacing w:before="240" w:beforeLines="100" w:after="120" w:afterLines="50"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w:t>
      </w:r>
    </w:p>
    <w:p>
      <w:pPr>
        <w:spacing w:before="240" w:beforeLines="100" w:after="120" w:afterLines="50" w:line="360" w:lineRule="auto"/>
        <w:jc w:val="center"/>
        <w:rPr>
          <w:rFonts w:asciiTheme="minorEastAsia" w:hAnsiTheme="minorEastAsia" w:eastAsiaTheme="minorEastAsia"/>
          <w:color w:val="auto"/>
          <w:szCs w:val="21"/>
          <w:highlight w:val="none"/>
        </w:rPr>
      </w:pPr>
    </w:p>
    <w:p>
      <w:pPr>
        <w:spacing w:before="240" w:beforeLines="100" w:after="120" w:afterLines="50" w:line="360" w:lineRule="auto"/>
        <w:jc w:val="center"/>
        <w:rPr>
          <w:rFonts w:asciiTheme="minorEastAsia" w:hAnsiTheme="minorEastAsia" w:eastAsiaTheme="minorEastAsia"/>
          <w:color w:val="auto"/>
          <w:szCs w:val="21"/>
          <w:highlight w:val="none"/>
        </w:rPr>
      </w:pPr>
    </w:p>
    <w:p>
      <w:pPr>
        <w:spacing w:before="240" w:beforeLines="100" w:after="120" w:afterLines="50" w:line="360" w:lineRule="auto"/>
        <w:jc w:val="center"/>
        <w:rPr>
          <w:rFonts w:asciiTheme="minorEastAsia" w:hAnsiTheme="minorEastAsia" w:eastAsiaTheme="minorEastAsia"/>
          <w:color w:val="auto"/>
          <w:szCs w:val="21"/>
          <w:highlight w:val="none"/>
        </w:rPr>
      </w:pPr>
    </w:p>
    <w:p>
      <w:pPr>
        <w:spacing w:before="240" w:beforeLines="100" w:after="120" w:afterLines="50" w:line="360" w:lineRule="auto"/>
        <w:jc w:val="center"/>
        <w:rPr>
          <w:rFonts w:asciiTheme="minorEastAsia" w:hAnsiTheme="minorEastAsia" w:eastAsiaTheme="minorEastAsia"/>
          <w:color w:val="auto"/>
          <w:szCs w:val="21"/>
          <w:highlight w:val="none"/>
        </w:rPr>
      </w:pPr>
    </w:p>
    <w:p>
      <w:pPr>
        <w:spacing w:before="240" w:beforeLines="100" w:after="120" w:afterLines="50" w:line="360" w:lineRule="auto"/>
        <w:jc w:val="center"/>
        <w:rPr>
          <w:rFonts w:asciiTheme="minorEastAsia" w:hAnsiTheme="minorEastAsia" w:eastAsiaTheme="minorEastAsia"/>
          <w:color w:val="auto"/>
          <w:szCs w:val="21"/>
          <w:highlight w:val="none"/>
        </w:rPr>
      </w:pPr>
    </w:p>
    <w:p>
      <w:pPr>
        <w:spacing w:before="240" w:beforeLines="100" w:after="120" w:afterLines="50" w:line="360" w:lineRule="auto"/>
        <w:jc w:val="center"/>
        <w:rPr>
          <w:rFonts w:asciiTheme="minorEastAsia" w:hAnsiTheme="minorEastAsia" w:eastAsiaTheme="minorEastAsia"/>
          <w:color w:val="auto"/>
          <w:szCs w:val="21"/>
          <w:highlight w:val="none"/>
        </w:rPr>
      </w:pPr>
    </w:p>
    <w:p>
      <w:pPr>
        <w:spacing w:before="240" w:beforeLines="100" w:after="120" w:afterLines="50" w:line="360" w:lineRule="auto"/>
        <w:jc w:val="center"/>
        <w:rPr>
          <w:rFonts w:asciiTheme="minorEastAsia" w:hAnsiTheme="minorEastAsia" w:eastAsiaTheme="minorEastAsia"/>
          <w:color w:val="auto"/>
          <w:szCs w:val="21"/>
          <w:highlight w:val="none"/>
        </w:rPr>
      </w:pPr>
    </w:p>
    <w:p>
      <w:pPr>
        <w:spacing w:before="240" w:beforeLines="100" w:after="120" w:afterLines="50" w:line="360" w:lineRule="auto"/>
        <w:jc w:val="center"/>
        <w:rPr>
          <w:rFonts w:asciiTheme="minorEastAsia" w:hAnsiTheme="minorEastAsia" w:eastAsiaTheme="minorEastAsia"/>
          <w:color w:val="auto"/>
          <w:szCs w:val="21"/>
          <w:highlight w:val="none"/>
        </w:rPr>
      </w:pPr>
    </w:p>
    <w:p>
      <w:pPr>
        <w:spacing w:before="240" w:beforeLines="100" w:after="120" w:afterLines="50" w:line="360" w:lineRule="auto"/>
        <w:jc w:val="center"/>
        <w:rPr>
          <w:rFonts w:asciiTheme="minorEastAsia" w:hAnsiTheme="minorEastAsia" w:eastAsiaTheme="minorEastAsia"/>
          <w:color w:val="auto"/>
          <w:szCs w:val="21"/>
          <w:highlight w:val="none"/>
        </w:rPr>
      </w:pPr>
    </w:p>
    <w:p>
      <w:pPr>
        <w:spacing w:before="240" w:beforeLines="100" w:after="120" w:afterLines="50" w:line="360" w:lineRule="auto"/>
        <w:jc w:val="center"/>
        <w:rPr>
          <w:rFonts w:asciiTheme="minorEastAsia" w:hAnsiTheme="minorEastAsia" w:eastAsiaTheme="minorEastAsia"/>
          <w:color w:val="auto"/>
          <w:szCs w:val="21"/>
          <w:highlight w:val="none"/>
        </w:rPr>
      </w:pPr>
    </w:p>
    <w:p>
      <w:pPr>
        <w:widowControl/>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p>
    <w:p>
      <w:pPr>
        <w:pStyle w:val="4"/>
        <w:rPr>
          <w:color w:val="auto"/>
          <w:highlight w:val="none"/>
        </w:rPr>
      </w:pPr>
      <w:bookmarkStart w:id="250" w:name="_Toc364679641"/>
      <w:bookmarkStart w:id="251" w:name="_Toc449306095"/>
      <w:bookmarkStart w:id="252" w:name="_Toc364682247"/>
      <w:bookmarkStart w:id="253" w:name="_Toc440870134"/>
      <w:r>
        <w:rPr>
          <w:rFonts w:hint="eastAsia"/>
          <w:color w:val="auto"/>
          <w:highlight w:val="none"/>
        </w:rPr>
        <w:t>（四）项目管理机构人员情况表</w:t>
      </w:r>
      <w:bookmarkEnd w:id="250"/>
      <w:bookmarkEnd w:id="251"/>
      <w:bookmarkEnd w:id="252"/>
      <w:bookmarkEnd w:id="253"/>
    </w:p>
    <w:p>
      <w:pPr>
        <w:spacing w:after="240" w:afterLines="100" w:line="360" w:lineRule="auto"/>
        <w:outlineLvl w:val="3"/>
        <w:rPr>
          <w:rFonts w:asciiTheme="minorEastAsia" w:hAnsiTheme="minorEastAsia" w:eastAsiaTheme="minorEastAsia"/>
          <w:color w:val="auto"/>
          <w:szCs w:val="21"/>
          <w:highlight w:val="none"/>
        </w:rPr>
      </w:pPr>
      <w:bookmarkStart w:id="254" w:name="_Toc364679642"/>
      <w:r>
        <w:rPr>
          <w:rFonts w:hint="eastAsia" w:asciiTheme="minorEastAsia" w:hAnsiTheme="minorEastAsia" w:eastAsiaTheme="minorEastAsia"/>
          <w:color w:val="auto"/>
          <w:szCs w:val="21"/>
          <w:highlight w:val="none"/>
        </w:rPr>
        <w:t>1.项目管理机构人员组成表</w:t>
      </w:r>
      <w:bookmarkEnd w:id="254"/>
    </w:p>
    <w:tbl>
      <w:tblPr>
        <w:tblStyle w:val="41"/>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771"/>
        <w:gridCol w:w="788"/>
        <w:gridCol w:w="850"/>
        <w:gridCol w:w="212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09" w:type="dxa"/>
            <w:vMerge w:val="restart"/>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职务</w:t>
            </w:r>
          </w:p>
        </w:tc>
        <w:tc>
          <w:tcPr>
            <w:tcW w:w="709" w:type="dxa"/>
            <w:vMerge w:val="restart"/>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姓名</w:t>
            </w:r>
          </w:p>
        </w:tc>
        <w:tc>
          <w:tcPr>
            <w:tcW w:w="709" w:type="dxa"/>
            <w:vMerge w:val="restart"/>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职称</w:t>
            </w:r>
          </w:p>
        </w:tc>
        <w:tc>
          <w:tcPr>
            <w:tcW w:w="5670" w:type="dxa"/>
            <w:gridSpan w:val="5"/>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执业或职业资格证明</w:t>
            </w:r>
          </w:p>
        </w:tc>
        <w:tc>
          <w:tcPr>
            <w:tcW w:w="708" w:type="dxa"/>
            <w:vMerge w:val="restart"/>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vMerge w:val="continue"/>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vMerge w:val="continue"/>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34"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证书名称</w:t>
            </w:r>
          </w:p>
        </w:tc>
        <w:tc>
          <w:tcPr>
            <w:tcW w:w="771"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级别</w:t>
            </w:r>
          </w:p>
        </w:tc>
        <w:tc>
          <w:tcPr>
            <w:tcW w:w="788"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证号</w:t>
            </w:r>
          </w:p>
        </w:tc>
        <w:tc>
          <w:tcPr>
            <w:tcW w:w="850"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专业</w:t>
            </w:r>
          </w:p>
        </w:tc>
        <w:tc>
          <w:tcPr>
            <w:tcW w:w="2127"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养老保险号</w:t>
            </w:r>
          </w:p>
        </w:tc>
        <w:tc>
          <w:tcPr>
            <w:tcW w:w="708" w:type="dxa"/>
            <w:vMerge w:val="continue"/>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34"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7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88"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850"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127"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8"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34"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7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88"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850"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127"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8"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34"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7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88"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850"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127"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8"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34"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7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88"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850"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127"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8"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34"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7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88"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850"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127"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8"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34"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7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88"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850"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127"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8"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34"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7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88"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850"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127"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8"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34"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7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88"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850"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127"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8"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34"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7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88"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850"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127"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8"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34"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7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88"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850"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127"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8"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34"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7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88"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850"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127"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8"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34"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7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88"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850"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127"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8"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34"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7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88"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850"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127"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8"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34"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7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88"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850"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127"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8"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34"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7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88"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850"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127"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8"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34"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7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88"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850"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127"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8"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34"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7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88"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850"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127"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8"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34"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7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88"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850"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127"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8"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34"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7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88"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850"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127"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8"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34"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7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88"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850"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127"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8"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34"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7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88"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850"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127"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8"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34"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7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88"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850"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127"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8"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bl>
    <w:p>
      <w:pPr>
        <w:spacing w:line="360" w:lineRule="auto"/>
        <w:rPr>
          <w:rFonts w:asciiTheme="minorEastAsia" w:hAnsiTheme="minorEastAsia" w:eastAsiaTheme="minorEastAsia"/>
          <w:color w:val="auto"/>
          <w:szCs w:val="21"/>
          <w:highlight w:val="none"/>
        </w:rPr>
      </w:pPr>
    </w:p>
    <w:p>
      <w:pPr>
        <w:spacing w:before="120" w:beforeLines="50" w:after="240" w:afterLines="100" w:line="360" w:lineRule="auto"/>
        <w:jc w:val="left"/>
        <w:outlineLvl w:val="3"/>
        <w:rPr>
          <w:rFonts w:asciiTheme="minorEastAsia" w:hAnsiTheme="minorEastAsia" w:eastAsiaTheme="minorEastAsia"/>
          <w:color w:val="auto"/>
          <w:szCs w:val="21"/>
          <w:highlight w:val="none"/>
        </w:rPr>
      </w:pPr>
      <w:bookmarkStart w:id="255" w:name="_Toc364679643"/>
      <w:r>
        <w:rPr>
          <w:rFonts w:hint="eastAsia" w:asciiTheme="minorEastAsia" w:hAnsiTheme="minorEastAsia" w:eastAsiaTheme="minorEastAsia"/>
          <w:color w:val="auto"/>
          <w:szCs w:val="21"/>
          <w:highlight w:val="none"/>
        </w:rPr>
        <w:t>2.主要人员简历表</w:t>
      </w:r>
      <w:bookmarkEnd w:id="255"/>
    </w:p>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附1：项目经理简历表</w:t>
      </w:r>
    </w:p>
    <w:tbl>
      <w:tblPr>
        <w:tblStyle w:val="41"/>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41"/>
        <w:gridCol w:w="1134"/>
        <w:gridCol w:w="184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姓  名</w:t>
            </w:r>
          </w:p>
        </w:tc>
        <w:tc>
          <w:tcPr>
            <w:tcW w:w="1035"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34"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出生年月</w:t>
            </w:r>
          </w:p>
        </w:tc>
        <w:tc>
          <w:tcPr>
            <w:tcW w:w="1275" w:type="dxa"/>
            <w:gridSpan w:val="2"/>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843"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学历</w:t>
            </w:r>
          </w:p>
        </w:tc>
        <w:tc>
          <w:tcPr>
            <w:tcW w:w="212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职  称</w:t>
            </w:r>
          </w:p>
        </w:tc>
        <w:tc>
          <w:tcPr>
            <w:tcW w:w="1035"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34"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职  务</w:t>
            </w:r>
          </w:p>
        </w:tc>
        <w:tc>
          <w:tcPr>
            <w:tcW w:w="1275" w:type="dxa"/>
            <w:gridSpan w:val="2"/>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843"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拟在本工程任职</w:t>
            </w:r>
          </w:p>
        </w:tc>
        <w:tc>
          <w:tcPr>
            <w:tcW w:w="2126"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注册建造师执业资格等级</w:t>
            </w:r>
          </w:p>
        </w:tc>
        <w:tc>
          <w:tcPr>
            <w:tcW w:w="1275" w:type="dxa"/>
            <w:gridSpan w:val="2"/>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级</w:t>
            </w:r>
          </w:p>
        </w:tc>
        <w:tc>
          <w:tcPr>
            <w:tcW w:w="1843"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建造师专业</w:t>
            </w:r>
          </w:p>
        </w:tc>
        <w:tc>
          <w:tcPr>
            <w:tcW w:w="212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安全生产考核合格证书</w:t>
            </w:r>
          </w:p>
        </w:tc>
        <w:tc>
          <w:tcPr>
            <w:tcW w:w="5244" w:type="dxa"/>
            <w:gridSpan w:val="4"/>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毕业学校</w:t>
            </w:r>
          </w:p>
        </w:tc>
        <w:tc>
          <w:tcPr>
            <w:tcW w:w="7413" w:type="dxa"/>
            <w:gridSpan w:val="6"/>
            <w:shd w:val="clear" w:color="auto" w:fill="auto"/>
            <w:vAlign w:val="center"/>
          </w:tcPr>
          <w:p>
            <w:pPr>
              <w:spacing w:line="360" w:lineRule="auto"/>
              <w:ind w:firstLine="840" w:firstLineChars="4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5" w:type="dxa"/>
            <w:gridSpan w:val="7"/>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时  间</w:t>
            </w:r>
          </w:p>
        </w:tc>
        <w:tc>
          <w:tcPr>
            <w:tcW w:w="2310" w:type="dxa"/>
            <w:gridSpan w:val="3"/>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参加过的类似</w:t>
            </w:r>
          </w:p>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项目名称</w:t>
            </w:r>
          </w:p>
        </w:tc>
        <w:tc>
          <w:tcPr>
            <w:tcW w:w="1134"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担任职务</w:t>
            </w:r>
          </w:p>
        </w:tc>
        <w:tc>
          <w:tcPr>
            <w:tcW w:w="1843"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工程概况说明</w:t>
            </w:r>
          </w:p>
        </w:tc>
        <w:tc>
          <w:tcPr>
            <w:tcW w:w="2126"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310" w:type="dxa"/>
            <w:gridSpan w:val="3"/>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34"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843"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12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310" w:type="dxa"/>
            <w:gridSpan w:val="3"/>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34"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843"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12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310" w:type="dxa"/>
            <w:gridSpan w:val="3"/>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34"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843"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12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310" w:type="dxa"/>
            <w:gridSpan w:val="3"/>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34"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843"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12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310" w:type="dxa"/>
            <w:gridSpan w:val="3"/>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34"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843"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12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310" w:type="dxa"/>
            <w:gridSpan w:val="3"/>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34"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843"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12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310" w:type="dxa"/>
            <w:gridSpan w:val="3"/>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34"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843"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12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310" w:type="dxa"/>
            <w:gridSpan w:val="3"/>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34"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843"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12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310" w:type="dxa"/>
            <w:gridSpan w:val="3"/>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34"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843"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12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bl>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应附建造师执业注册证书、安全生产考核合格证书、身份证、职称证、养老保险复印件（退休人员可提供退休证和聘用证）。</w:t>
      </w:r>
    </w:p>
    <w:p>
      <w:pPr>
        <w:spacing w:line="360"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r>
        <w:rPr>
          <w:rFonts w:hint="eastAsia" w:asciiTheme="minorEastAsia" w:hAnsiTheme="minorEastAsia" w:eastAsiaTheme="minorEastAsia"/>
          <w:color w:val="auto"/>
          <w:szCs w:val="21"/>
          <w:highlight w:val="none"/>
        </w:rPr>
        <w:t>附2：主要项目管理人员简历表</w:t>
      </w:r>
    </w:p>
    <w:tbl>
      <w:tblPr>
        <w:tblStyle w:val="41"/>
        <w:tblW w:w="84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22"/>
        <w:gridCol w:w="2116"/>
        <w:gridCol w:w="2116"/>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22"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岗位名称</w:t>
            </w:r>
          </w:p>
        </w:tc>
        <w:tc>
          <w:tcPr>
            <w:tcW w:w="6348" w:type="dxa"/>
            <w:gridSpan w:val="3"/>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22" w:type="dxa"/>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姓    名</w:t>
            </w:r>
          </w:p>
        </w:tc>
        <w:tc>
          <w:tcPr>
            <w:tcW w:w="2116" w:type="dxa"/>
          </w:tcPr>
          <w:p>
            <w:pPr>
              <w:spacing w:line="360" w:lineRule="auto"/>
              <w:jc w:val="center"/>
              <w:rPr>
                <w:rFonts w:asciiTheme="minorEastAsia" w:hAnsiTheme="minorEastAsia" w:eastAsiaTheme="minorEastAsia"/>
                <w:color w:val="auto"/>
                <w:szCs w:val="21"/>
                <w:highlight w:val="none"/>
              </w:rPr>
            </w:pPr>
          </w:p>
        </w:tc>
        <w:tc>
          <w:tcPr>
            <w:tcW w:w="2116" w:type="dxa"/>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    龄</w:t>
            </w:r>
          </w:p>
        </w:tc>
        <w:tc>
          <w:tcPr>
            <w:tcW w:w="2116" w:type="dxa"/>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22" w:type="dxa"/>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性    别</w:t>
            </w:r>
          </w:p>
        </w:tc>
        <w:tc>
          <w:tcPr>
            <w:tcW w:w="2116" w:type="dxa"/>
          </w:tcPr>
          <w:p>
            <w:pPr>
              <w:spacing w:line="360" w:lineRule="auto"/>
              <w:jc w:val="center"/>
              <w:rPr>
                <w:rFonts w:asciiTheme="minorEastAsia" w:hAnsiTheme="minorEastAsia" w:eastAsiaTheme="minorEastAsia"/>
                <w:color w:val="auto"/>
                <w:szCs w:val="21"/>
                <w:highlight w:val="none"/>
              </w:rPr>
            </w:pPr>
          </w:p>
        </w:tc>
        <w:tc>
          <w:tcPr>
            <w:tcW w:w="2116" w:type="dxa"/>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毕业学校</w:t>
            </w:r>
          </w:p>
        </w:tc>
        <w:tc>
          <w:tcPr>
            <w:tcW w:w="2116" w:type="dxa"/>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22" w:type="dxa"/>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学历和专业</w:t>
            </w:r>
          </w:p>
        </w:tc>
        <w:tc>
          <w:tcPr>
            <w:tcW w:w="2116" w:type="dxa"/>
          </w:tcPr>
          <w:p>
            <w:pPr>
              <w:spacing w:line="360" w:lineRule="auto"/>
              <w:jc w:val="center"/>
              <w:rPr>
                <w:rFonts w:asciiTheme="minorEastAsia" w:hAnsiTheme="minorEastAsia" w:eastAsiaTheme="minorEastAsia"/>
                <w:color w:val="auto"/>
                <w:szCs w:val="21"/>
                <w:highlight w:val="none"/>
              </w:rPr>
            </w:pPr>
          </w:p>
        </w:tc>
        <w:tc>
          <w:tcPr>
            <w:tcW w:w="2116" w:type="dxa"/>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毕业时间</w:t>
            </w:r>
          </w:p>
        </w:tc>
        <w:tc>
          <w:tcPr>
            <w:tcW w:w="2116" w:type="dxa"/>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22" w:type="dxa"/>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拥有的执业资格</w:t>
            </w:r>
          </w:p>
        </w:tc>
        <w:tc>
          <w:tcPr>
            <w:tcW w:w="2116" w:type="dxa"/>
          </w:tcPr>
          <w:p>
            <w:pPr>
              <w:spacing w:line="360" w:lineRule="auto"/>
              <w:jc w:val="center"/>
              <w:rPr>
                <w:rFonts w:asciiTheme="minorEastAsia" w:hAnsiTheme="minorEastAsia" w:eastAsiaTheme="minorEastAsia"/>
                <w:color w:val="auto"/>
                <w:szCs w:val="21"/>
                <w:highlight w:val="none"/>
              </w:rPr>
            </w:pPr>
          </w:p>
        </w:tc>
        <w:tc>
          <w:tcPr>
            <w:tcW w:w="2116" w:type="dxa"/>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专业职称</w:t>
            </w:r>
          </w:p>
        </w:tc>
        <w:tc>
          <w:tcPr>
            <w:tcW w:w="2116" w:type="dxa"/>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22" w:type="dxa"/>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执业资格证书编号</w:t>
            </w:r>
          </w:p>
        </w:tc>
        <w:tc>
          <w:tcPr>
            <w:tcW w:w="2116" w:type="dxa"/>
          </w:tcPr>
          <w:p>
            <w:pPr>
              <w:spacing w:line="360" w:lineRule="auto"/>
              <w:jc w:val="center"/>
              <w:rPr>
                <w:rFonts w:asciiTheme="minorEastAsia" w:hAnsiTheme="minorEastAsia" w:eastAsiaTheme="minorEastAsia"/>
                <w:color w:val="auto"/>
                <w:szCs w:val="21"/>
                <w:highlight w:val="none"/>
              </w:rPr>
            </w:pPr>
          </w:p>
        </w:tc>
        <w:tc>
          <w:tcPr>
            <w:tcW w:w="2116" w:type="dxa"/>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工作年限</w:t>
            </w:r>
          </w:p>
        </w:tc>
        <w:tc>
          <w:tcPr>
            <w:tcW w:w="2116" w:type="dxa"/>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5" w:hRule="atLeast"/>
        </w:trPr>
        <w:tc>
          <w:tcPr>
            <w:tcW w:w="2122" w:type="dxa"/>
          </w:tcPr>
          <w:p>
            <w:pPr>
              <w:spacing w:line="360" w:lineRule="auto"/>
              <w:ind w:firstLine="1050" w:firstLineChars="500"/>
              <w:rPr>
                <w:rFonts w:asciiTheme="minorEastAsia" w:hAnsiTheme="minorEastAsia" w:eastAsiaTheme="minorEastAsia"/>
                <w:color w:val="auto"/>
                <w:szCs w:val="21"/>
                <w:highlight w:val="none"/>
              </w:rPr>
            </w:pPr>
          </w:p>
          <w:p>
            <w:pPr>
              <w:spacing w:line="360" w:lineRule="auto"/>
              <w:ind w:firstLine="1050" w:firstLineChars="500"/>
              <w:rPr>
                <w:rFonts w:asciiTheme="minorEastAsia" w:hAnsiTheme="minorEastAsia" w:eastAsiaTheme="minorEastAsia"/>
                <w:color w:val="auto"/>
                <w:szCs w:val="21"/>
                <w:highlight w:val="none"/>
              </w:rPr>
            </w:pPr>
          </w:p>
          <w:p>
            <w:pPr>
              <w:spacing w:line="360" w:lineRule="auto"/>
              <w:ind w:firstLine="1050" w:firstLineChars="500"/>
              <w:rPr>
                <w:rFonts w:asciiTheme="minorEastAsia" w:hAnsiTheme="minorEastAsia" w:eastAsiaTheme="minorEastAsia"/>
                <w:color w:val="auto"/>
                <w:szCs w:val="21"/>
                <w:highlight w:val="none"/>
              </w:rPr>
            </w:pPr>
          </w:p>
          <w:p>
            <w:pPr>
              <w:spacing w:line="360" w:lineRule="auto"/>
              <w:ind w:firstLine="1050" w:firstLineChars="5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主</w:t>
            </w:r>
          </w:p>
          <w:p>
            <w:pPr>
              <w:spacing w:line="360" w:lineRule="auto"/>
              <w:ind w:firstLine="1050" w:firstLineChars="5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要</w:t>
            </w:r>
          </w:p>
          <w:p>
            <w:pPr>
              <w:spacing w:line="360" w:lineRule="auto"/>
              <w:ind w:firstLine="1050" w:firstLineChars="5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w:t>
            </w:r>
          </w:p>
          <w:p>
            <w:pPr>
              <w:spacing w:line="360" w:lineRule="auto"/>
              <w:ind w:firstLine="1050" w:firstLineChars="5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作</w:t>
            </w:r>
          </w:p>
          <w:p>
            <w:pPr>
              <w:spacing w:line="360" w:lineRule="auto"/>
              <w:ind w:firstLine="1050" w:firstLineChars="5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业</w:t>
            </w:r>
          </w:p>
          <w:p>
            <w:pPr>
              <w:spacing w:line="360" w:lineRule="auto"/>
              <w:ind w:firstLine="1050" w:firstLineChars="5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绩</w:t>
            </w:r>
          </w:p>
          <w:p>
            <w:pPr>
              <w:spacing w:line="360" w:lineRule="auto"/>
              <w:ind w:firstLine="1050" w:firstLineChars="5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及</w:t>
            </w:r>
          </w:p>
          <w:p>
            <w:pPr>
              <w:spacing w:line="360" w:lineRule="auto"/>
              <w:ind w:firstLine="1050" w:firstLineChars="5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担</w:t>
            </w:r>
          </w:p>
          <w:p>
            <w:pPr>
              <w:spacing w:line="360" w:lineRule="auto"/>
              <w:ind w:firstLine="1050" w:firstLineChars="5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任</w:t>
            </w:r>
          </w:p>
          <w:p>
            <w:pPr>
              <w:spacing w:line="360" w:lineRule="auto"/>
              <w:ind w:firstLine="1050" w:firstLineChars="5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的</w:t>
            </w:r>
          </w:p>
          <w:p>
            <w:pPr>
              <w:spacing w:line="360" w:lineRule="auto"/>
              <w:ind w:firstLine="1050" w:firstLineChars="5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主</w:t>
            </w:r>
          </w:p>
          <w:p>
            <w:pPr>
              <w:spacing w:line="360" w:lineRule="auto"/>
              <w:ind w:firstLine="1050" w:firstLineChars="5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要</w:t>
            </w:r>
          </w:p>
          <w:p>
            <w:pPr>
              <w:spacing w:line="360" w:lineRule="auto"/>
              <w:ind w:firstLine="1050" w:firstLineChars="5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w:t>
            </w:r>
          </w:p>
          <w:p>
            <w:pPr>
              <w:spacing w:line="360" w:lineRule="auto"/>
              <w:ind w:firstLine="1050" w:firstLineChars="5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作</w:t>
            </w:r>
          </w:p>
          <w:p>
            <w:pPr>
              <w:spacing w:line="360" w:lineRule="auto"/>
              <w:jc w:val="center"/>
              <w:rPr>
                <w:rFonts w:asciiTheme="minorEastAsia" w:hAnsiTheme="minorEastAsia" w:eastAsiaTheme="minorEastAsia"/>
                <w:color w:val="auto"/>
                <w:szCs w:val="21"/>
                <w:highlight w:val="none"/>
              </w:rPr>
            </w:pPr>
          </w:p>
        </w:tc>
        <w:tc>
          <w:tcPr>
            <w:tcW w:w="6348" w:type="dxa"/>
            <w:gridSpan w:val="3"/>
          </w:tcPr>
          <w:p>
            <w:pPr>
              <w:spacing w:line="360" w:lineRule="auto"/>
              <w:jc w:val="center"/>
              <w:rPr>
                <w:rFonts w:asciiTheme="minorEastAsia" w:hAnsiTheme="minorEastAsia" w:eastAsiaTheme="minorEastAsia"/>
                <w:color w:val="auto"/>
                <w:szCs w:val="21"/>
                <w:highlight w:val="none"/>
              </w:rPr>
            </w:pPr>
          </w:p>
        </w:tc>
      </w:tr>
    </w:tbl>
    <w:p>
      <w:pPr>
        <w:spacing w:line="360" w:lineRule="auto"/>
        <w:rPr>
          <w:rFonts w:asciiTheme="minorEastAsia" w:hAnsiTheme="minorEastAsia" w:eastAsiaTheme="minorEastAsia"/>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主要项目管理人员指拟任项目副经理、技术负责人、合同商务负责人、专职质量管理人员、专职安全生产管理人员及其他关键岗位人员等。应附执业资格或岗位证书，专职安全生产管理人员应附安全生产考核合格证书复印件。</w:t>
      </w:r>
    </w:p>
    <w:p>
      <w:pPr>
        <w:widowControl/>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p>
    <w:p>
      <w:pPr>
        <w:pStyle w:val="4"/>
        <w:rPr>
          <w:color w:val="auto"/>
          <w:highlight w:val="none"/>
        </w:rPr>
      </w:pPr>
      <w:bookmarkStart w:id="256" w:name="_Toc440870136"/>
      <w:bookmarkStart w:id="257" w:name="_Toc364679645"/>
      <w:bookmarkStart w:id="258" w:name="_Toc449306097"/>
      <w:bookmarkStart w:id="259" w:name="_Toc364682249"/>
      <w:r>
        <w:rPr>
          <w:rFonts w:hint="eastAsia"/>
          <w:color w:val="auto"/>
          <w:highlight w:val="none"/>
        </w:rPr>
        <w:t>（五）投标人基本资料</w:t>
      </w:r>
      <w:bookmarkEnd w:id="256"/>
      <w:bookmarkEnd w:id="257"/>
      <w:bookmarkEnd w:id="258"/>
      <w:bookmarkEnd w:id="259"/>
    </w:p>
    <w:p>
      <w:pPr>
        <w:spacing w:before="120" w:beforeLines="50" w:after="240" w:afterLines="100" w:line="360" w:lineRule="auto"/>
        <w:outlineLvl w:val="3"/>
        <w:rPr>
          <w:rFonts w:asciiTheme="minorEastAsia" w:hAnsiTheme="minorEastAsia" w:eastAsiaTheme="minorEastAsia"/>
          <w:color w:val="auto"/>
          <w:szCs w:val="21"/>
          <w:highlight w:val="none"/>
        </w:rPr>
      </w:pPr>
      <w:bookmarkStart w:id="260" w:name="_Toc364679646"/>
      <w:r>
        <w:rPr>
          <w:rFonts w:hint="eastAsia" w:asciiTheme="minorEastAsia" w:hAnsiTheme="minorEastAsia" w:eastAsiaTheme="minorEastAsia"/>
          <w:color w:val="auto"/>
          <w:szCs w:val="21"/>
          <w:highlight w:val="none"/>
        </w:rPr>
        <w:t>1.投标人基本情况表</w:t>
      </w:r>
      <w:bookmarkEnd w:id="260"/>
    </w:p>
    <w:tbl>
      <w:tblPr>
        <w:tblStyle w:val="41"/>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投标人名称</w:t>
            </w:r>
          </w:p>
        </w:tc>
        <w:tc>
          <w:tcPr>
            <w:tcW w:w="7020" w:type="dxa"/>
            <w:gridSpan w:val="9"/>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注册地址</w:t>
            </w:r>
          </w:p>
        </w:tc>
        <w:tc>
          <w:tcPr>
            <w:tcW w:w="3389" w:type="dxa"/>
            <w:gridSpan w:val="5"/>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246"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邮政编码</w:t>
            </w:r>
          </w:p>
        </w:tc>
        <w:tc>
          <w:tcPr>
            <w:tcW w:w="2385" w:type="dxa"/>
            <w:gridSpan w:val="3"/>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联系方式</w:t>
            </w:r>
          </w:p>
        </w:tc>
        <w:tc>
          <w:tcPr>
            <w:tcW w:w="897"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联系人</w:t>
            </w:r>
          </w:p>
        </w:tc>
        <w:tc>
          <w:tcPr>
            <w:tcW w:w="2492" w:type="dxa"/>
            <w:gridSpan w:val="4"/>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246"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  话</w:t>
            </w:r>
          </w:p>
        </w:tc>
        <w:tc>
          <w:tcPr>
            <w:tcW w:w="2385" w:type="dxa"/>
            <w:gridSpan w:val="3"/>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897"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传  真</w:t>
            </w:r>
          </w:p>
        </w:tc>
        <w:tc>
          <w:tcPr>
            <w:tcW w:w="2492" w:type="dxa"/>
            <w:gridSpan w:val="4"/>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246"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网  址</w:t>
            </w:r>
          </w:p>
        </w:tc>
        <w:tc>
          <w:tcPr>
            <w:tcW w:w="2385" w:type="dxa"/>
            <w:gridSpan w:val="3"/>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组织结构</w:t>
            </w:r>
          </w:p>
        </w:tc>
        <w:tc>
          <w:tcPr>
            <w:tcW w:w="7020" w:type="dxa"/>
            <w:gridSpan w:val="9"/>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w:t>
            </w:r>
          </w:p>
        </w:tc>
        <w:tc>
          <w:tcPr>
            <w:tcW w:w="897"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姓名</w:t>
            </w:r>
          </w:p>
        </w:tc>
        <w:tc>
          <w:tcPr>
            <w:tcW w:w="102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276" w:type="dxa"/>
            <w:gridSpan w:val="2"/>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技术职称</w:t>
            </w:r>
          </w:p>
        </w:tc>
        <w:tc>
          <w:tcPr>
            <w:tcW w:w="1701" w:type="dxa"/>
            <w:gridSpan w:val="3"/>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电话</w:t>
            </w:r>
          </w:p>
        </w:tc>
        <w:tc>
          <w:tcPr>
            <w:tcW w:w="141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技术负责人</w:t>
            </w:r>
          </w:p>
        </w:tc>
        <w:tc>
          <w:tcPr>
            <w:tcW w:w="897"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姓名</w:t>
            </w:r>
          </w:p>
        </w:tc>
        <w:tc>
          <w:tcPr>
            <w:tcW w:w="102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276" w:type="dxa"/>
            <w:gridSpan w:val="2"/>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技术职称</w:t>
            </w:r>
          </w:p>
        </w:tc>
        <w:tc>
          <w:tcPr>
            <w:tcW w:w="1701" w:type="dxa"/>
            <w:gridSpan w:val="3"/>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709"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电话</w:t>
            </w:r>
          </w:p>
        </w:tc>
        <w:tc>
          <w:tcPr>
            <w:tcW w:w="141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成立时间</w:t>
            </w:r>
          </w:p>
        </w:tc>
        <w:tc>
          <w:tcPr>
            <w:tcW w:w="1918" w:type="dxa"/>
            <w:gridSpan w:val="2"/>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5102" w:type="dxa"/>
            <w:gridSpan w:val="7"/>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企业资质等级</w:t>
            </w:r>
          </w:p>
        </w:tc>
        <w:tc>
          <w:tcPr>
            <w:tcW w:w="897"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02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993" w:type="dxa"/>
            <w:vMerge w:val="restart"/>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其中</w:t>
            </w:r>
          </w:p>
        </w:tc>
        <w:tc>
          <w:tcPr>
            <w:tcW w:w="1984" w:type="dxa"/>
            <w:gridSpan w:val="4"/>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项目经理</w:t>
            </w:r>
          </w:p>
        </w:tc>
        <w:tc>
          <w:tcPr>
            <w:tcW w:w="2125" w:type="dxa"/>
            <w:gridSpan w:val="2"/>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营业执照号</w:t>
            </w:r>
          </w:p>
        </w:tc>
        <w:tc>
          <w:tcPr>
            <w:tcW w:w="897"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02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993" w:type="dxa"/>
            <w:vMerge w:val="continue"/>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984" w:type="dxa"/>
            <w:gridSpan w:val="4"/>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高级职称人员</w:t>
            </w:r>
          </w:p>
        </w:tc>
        <w:tc>
          <w:tcPr>
            <w:tcW w:w="2125" w:type="dxa"/>
            <w:gridSpan w:val="2"/>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注册资金</w:t>
            </w:r>
          </w:p>
        </w:tc>
        <w:tc>
          <w:tcPr>
            <w:tcW w:w="897"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02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993" w:type="dxa"/>
            <w:vMerge w:val="continue"/>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984" w:type="dxa"/>
            <w:gridSpan w:val="4"/>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中级职称人员</w:t>
            </w:r>
          </w:p>
        </w:tc>
        <w:tc>
          <w:tcPr>
            <w:tcW w:w="2125" w:type="dxa"/>
            <w:gridSpan w:val="2"/>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开户银行</w:t>
            </w:r>
          </w:p>
        </w:tc>
        <w:tc>
          <w:tcPr>
            <w:tcW w:w="897"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02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993" w:type="dxa"/>
            <w:vMerge w:val="continue"/>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984" w:type="dxa"/>
            <w:gridSpan w:val="4"/>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初级职称人员</w:t>
            </w:r>
          </w:p>
        </w:tc>
        <w:tc>
          <w:tcPr>
            <w:tcW w:w="2125" w:type="dxa"/>
            <w:gridSpan w:val="2"/>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账号</w:t>
            </w:r>
          </w:p>
        </w:tc>
        <w:tc>
          <w:tcPr>
            <w:tcW w:w="897"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02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993" w:type="dxa"/>
            <w:vMerge w:val="continue"/>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984" w:type="dxa"/>
            <w:gridSpan w:val="4"/>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  工</w:t>
            </w:r>
          </w:p>
        </w:tc>
        <w:tc>
          <w:tcPr>
            <w:tcW w:w="2125" w:type="dxa"/>
            <w:gridSpan w:val="2"/>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1485"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经营范围</w:t>
            </w:r>
          </w:p>
        </w:tc>
        <w:tc>
          <w:tcPr>
            <w:tcW w:w="7020" w:type="dxa"/>
            <w:gridSpan w:val="9"/>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w:t>
            </w:r>
          </w:p>
        </w:tc>
        <w:tc>
          <w:tcPr>
            <w:tcW w:w="7020" w:type="dxa"/>
            <w:gridSpan w:val="9"/>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bl>
    <w:p>
      <w:pPr>
        <w:spacing w:line="360" w:lineRule="auto"/>
        <w:rPr>
          <w:rFonts w:ascii="宋体" w:hAnsi="宋体"/>
          <w:color w:val="auto"/>
          <w:szCs w:val="21"/>
          <w:highlight w:val="none"/>
        </w:rPr>
      </w:pPr>
      <w:r>
        <w:rPr>
          <w:rFonts w:hint="eastAsia" w:ascii="宋体" w:hAnsi="宋体"/>
          <w:color w:val="auto"/>
          <w:szCs w:val="21"/>
          <w:highlight w:val="none"/>
        </w:rPr>
        <w:t>注：1</w:t>
      </w:r>
      <w:r>
        <w:rPr>
          <w:rFonts w:ascii="宋体" w:hAnsi="宋体"/>
          <w:color w:val="auto"/>
          <w:szCs w:val="21"/>
          <w:highlight w:val="none"/>
        </w:rPr>
        <w:t>.</w:t>
      </w:r>
      <w:r>
        <w:rPr>
          <w:rFonts w:hint="eastAsia" w:ascii="宋体" w:hAnsi="宋体"/>
          <w:color w:val="auto"/>
          <w:szCs w:val="21"/>
          <w:highlight w:val="none"/>
        </w:rPr>
        <w:t>本表后应附企业法人营业执照、资质证书副本、安全生产许可证等材料的复印件。</w:t>
      </w:r>
    </w:p>
    <w:p>
      <w:pPr>
        <w:spacing w:line="360" w:lineRule="auto"/>
        <w:rPr>
          <w:rFonts w:ascii="宋体" w:hAnsi="宋体"/>
          <w:color w:val="auto"/>
          <w:szCs w:val="21"/>
          <w:highlight w:val="none"/>
        </w:rPr>
      </w:pPr>
      <w:bookmarkStart w:id="261" w:name="_Hlk17800581"/>
      <w:r>
        <w:rPr>
          <w:rFonts w:hint="eastAsia" w:ascii="宋体" w:hAnsi="宋体"/>
          <w:color w:val="auto"/>
          <w:szCs w:val="21"/>
          <w:highlight w:val="none"/>
        </w:rPr>
        <w:t>2</w:t>
      </w:r>
      <w:r>
        <w:rPr>
          <w:rFonts w:ascii="宋体" w:hAnsi="宋体"/>
          <w:color w:val="auto"/>
          <w:szCs w:val="21"/>
          <w:highlight w:val="none"/>
        </w:rPr>
        <w:t>. 组成联合体</w:t>
      </w:r>
      <w:r>
        <w:rPr>
          <w:rFonts w:hint="eastAsia" w:ascii="宋体" w:hAnsi="宋体"/>
          <w:color w:val="auto"/>
          <w:szCs w:val="21"/>
          <w:highlight w:val="none"/>
        </w:rPr>
        <w:t>参与</w:t>
      </w:r>
      <w:r>
        <w:rPr>
          <w:rFonts w:ascii="宋体" w:hAnsi="宋体"/>
          <w:color w:val="auto"/>
          <w:szCs w:val="21"/>
          <w:highlight w:val="none"/>
        </w:rPr>
        <w:t>磋商的，</w:t>
      </w:r>
      <w:r>
        <w:rPr>
          <w:rFonts w:hint="eastAsia" w:ascii="宋体" w:hAnsi="宋体"/>
          <w:color w:val="auto"/>
          <w:szCs w:val="21"/>
          <w:highlight w:val="none"/>
        </w:rPr>
        <w:t>联合体各方均应提供此表</w:t>
      </w:r>
      <w:r>
        <w:rPr>
          <w:rFonts w:ascii="宋体" w:hAnsi="宋体"/>
          <w:color w:val="auto"/>
          <w:szCs w:val="21"/>
          <w:highlight w:val="none"/>
        </w:rPr>
        <w:t>。</w:t>
      </w:r>
      <w:bookmarkEnd w:id="261"/>
    </w:p>
    <w:p>
      <w:pPr>
        <w:spacing w:before="120" w:beforeLines="50" w:after="120" w:afterLines="50" w:line="360" w:lineRule="auto"/>
        <w:rPr>
          <w:rFonts w:asciiTheme="minorEastAsia" w:hAnsiTheme="minorEastAsia" w:eastAsiaTheme="minorEastAsia"/>
          <w:color w:val="auto"/>
          <w:szCs w:val="21"/>
          <w:highlight w:val="none"/>
        </w:rPr>
      </w:pPr>
    </w:p>
    <w:p>
      <w:pPr>
        <w:spacing w:before="120" w:beforeLines="50" w:after="120" w:afterLines="50" w:line="360" w:lineRule="auto"/>
        <w:rPr>
          <w:rFonts w:asciiTheme="minorEastAsia" w:hAnsiTheme="minorEastAsia" w:eastAsiaTheme="minorEastAsia"/>
          <w:color w:val="auto"/>
          <w:szCs w:val="21"/>
          <w:highlight w:val="none"/>
        </w:rPr>
        <w:sectPr>
          <w:pgSz w:w="11906" w:h="16838"/>
          <w:pgMar w:top="1440" w:right="1644" w:bottom="1440" w:left="1797" w:header="851" w:footer="992" w:gutter="0"/>
          <w:cols w:space="425" w:num="1"/>
          <w:titlePg/>
          <w:docGrid w:linePitch="312" w:charSpace="0"/>
        </w:sectPr>
      </w:pPr>
    </w:p>
    <w:p>
      <w:pPr>
        <w:spacing w:before="120" w:beforeLines="50" w:after="120" w:afterLines="50" w:line="360" w:lineRule="auto"/>
        <w:outlineLvl w:val="3"/>
        <w:rPr>
          <w:rFonts w:asciiTheme="minorEastAsia" w:hAnsiTheme="minorEastAsia" w:eastAsiaTheme="minorEastAsia"/>
          <w:color w:val="auto"/>
          <w:szCs w:val="21"/>
          <w:highlight w:val="none"/>
        </w:rPr>
      </w:pPr>
      <w:bookmarkStart w:id="262" w:name="_Toc364679647"/>
      <w:r>
        <w:rPr>
          <w:rFonts w:hint="eastAsia" w:asciiTheme="minorEastAsia" w:hAnsiTheme="minorEastAsia" w:eastAsiaTheme="minorEastAsia"/>
          <w:color w:val="auto"/>
          <w:szCs w:val="21"/>
          <w:highlight w:val="none"/>
        </w:rPr>
        <w:t>2.近年完成的类似项目情况汇总表</w:t>
      </w:r>
      <w:bookmarkEnd w:id="262"/>
    </w:p>
    <w:tbl>
      <w:tblPr>
        <w:tblStyle w:val="41"/>
        <w:tblW w:w="13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421"/>
        <w:gridCol w:w="1421"/>
        <w:gridCol w:w="2365"/>
        <w:gridCol w:w="1186"/>
        <w:gridCol w:w="1186"/>
        <w:gridCol w:w="1186"/>
        <w:gridCol w:w="1421"/>
        <w:gridCol w:w="1186"/>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85"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项目名称</w:t>
            </w:r>
          </w:p>
        </w:tc>
        <w:tc>
          <w:tcPr>
            <w:tcW w:w="1421"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项目所在地</w:t>
            </w:r>
          </w:p>
        </w:tc>
        <w:tc>
          <w:tcPr>
            <w:tcW w:w="1421"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发包人名称</w:t>
            </w:r>
          </w:p>
        </w:tc>
        <w:tc>
          <w:tcPr>
            <w:tcW w:w="2365"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发包人联系人及电话</w:t>
            </w:r>
          </w:p>
        </w:tc>
        <w:tc>
          <w:tcPr>
            <w:tcW w:w="1186"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合同价格</w:t>
            </w:r>
          </w:p>
        </w:tc>
        <w:tc>
          <w:tcPr>
            <w:tcW w:w="1186"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开工日期</w:t>
            </w:r>
          </w:p>
        </w:tc>
        <w:tc>
          <w:tcPr>
            <w:tcW w:w="1186"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竣工日期</w:t>
            </w:r>
          </w:p>
        </w:tc>
        <w:tc>
          <w:tcPr>
            <w:tcW w:w="1421"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承担的工作</w:t>
            </w:r>
          </w:p>
        </w:tc>
        <w:tc>
          <w:tcPr>
            <w:tcW w:w="1186"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工程质量</w:t>
            </w:r>
          </w:p>
        </w:tc>
        <w:tc>
          <w:tcPr>
            <w:tcW w:w="1186"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工程类别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85"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42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42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365"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8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8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8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42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8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8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85"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42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42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365"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8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8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8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42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8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8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85"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42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42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365"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8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8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8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42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8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8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85"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42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42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365"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8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8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8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42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8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8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85"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42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42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365"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8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8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8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42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8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8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85"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42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42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365"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8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8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8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42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8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8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85"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42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42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365"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8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8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8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421"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8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18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bl>
    <w:p>
      <w:pPr>
        <w:spacing w:line="360" w:lineRule="auto"/>
        <w:ind w:left="630" w:hanging="630" w:hangingChars="300"/>
        <w:rPr>
          <w:rFonts w:asciiTheme="minorEastAsia" w:hAnsiTheme="minorEastAsia" w:eastAsiaTheme="minorEastAsia"/>
          <w:color w:val="auto"/>
          <w:szCs w:val="21"/>
          <w:highlight w:val="none"/>
        </w:rPr>
      </w:pPr>
    </w:p>
    <w:p>
      <w:pPr>
        <w:spacing w:line="360" w:lineRule="auto"/>
        <w:ind w:left="630" w:hanging="630" w:hangingChars="300"/>
        <w:rPr>
          <w:rFonts w:ascii="宋体" w:hAnsi="宋体"/>
          <w:color w:val="auto"/>
          <w:szCs w:val="21"/>
          <w:highlight w:val="none"/>
        </w:rPr>
      </w:pPr>
      <w:r>
        <w:rPr>
          <w:rFonts w:hint="eastAsia" w:ascii="宋体" w:hAnsi="宋体"/>
          <w:color w:val="auto"/>
          <w:szCs w:val="21"/>
          <w:highlight w:val="none"/>
        </w:rPr>
        <w:t>注：1.本表类似项目定义及具体年份要求见投标人须知前附表 。</w:t>
      </w:r>
    </w:p>
    <w:p>
      <w:pPr>
        <w:spacing w:line="360" w:lineRule="auto"/>
        <w:ind w:left="630" w:hanging="630" w:hangingChars="3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本表后需附合同复印件，</w:t>
      </w:r>
      <w:r>
        <w:rPr>
          <w:rFonts w:ascii="宋体" w:hAnsi="宋体"/>
          <w:color w:val="auto"/>
          <w:szCs w:val="21"/>
          <w:highlight w:val="none"/>
        </w:rPr>
        <w:t>以合同签订日期为准，须提供合同</w:t>
      </w:r>
      <w:r>
        <w:rPr>
          <w:rFonts w:hint="eastAsia" w:ascii="宋体" w:hAnsi="宋体"/>
          <w:color w:val="auto"/>
          <w:szCs w:val="21"/>
          <w:highlight w:val="none"/>
        </w:rPr>
        <w:t>首页（显示项目名称或项目内容页）</w:t>
      </w:r>
      <w:r>
        <w:rPr>
          <w:rFonts w:ascii="宋体" w:hAnsi="宋体"/>
          <w:color w:val="auto"/>
          <w:szCs w:val="21"/>
          <w:highlight w:val="none"/>
        </w:rPr>
        <w:t>和签字盖章页</w:t>
      </w:r>
      <w:r>
        <w:rPr>
          <w:rFonts w:hint="eastAsia" w:ascii="宋体" w:hAnsi="宋体"/>
          <w:color w:val="auto"/>
          <w:szCs w:val="21"/>
          <w:highlight w:val="none"/>
        </w:rPr>
        <w:t>复印</w:t>
      </w:r>
      <w:r>
        <w:rPr>
          <w:rFonts w:ascii="宋体" w:hAnsi="宋体"/>
          <w:color w:val="auto"/>
          <w:szCs w:val="21"/>
          <w:highlight w:val="none"/>
        </w:rPr>
        <w:t>件。</w:t>
      </w:r>
    </w:p>
    <w:p>
      <w:pPr>
        <w:spacing w:line="360" w:lineRule="auto"/>
        <w:ind w:left="630" w:hanging="630" w:hangingChars="3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组成联合体参与投标的，联合体各方均应提供此表。</w:t>
      </w:r>
    </w:p>
    <w:p>
      <w:pPr>
        <w:widowControl/>
        <w:jc w:val="left"/>
        <w:rPr>
          <w:rFonts w:asciiTheme="minorEastAsia" w:hAnsiTheme="minorEastAsia" w:eastAsiaTheme="minorEastAsia"/>
          <w:color w:val="auto"/>
          <w:szCs w:val="21"/>
          <w:highlight w:val="none"/>
        </w:rPr>
      </w:pPr>
      <w:bookmarkStart w:id="263" w:name="_Toc364679648"/>
    </w:p>
    <w:p>
      <w:pPr>
        <w:widowControl/>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p>
    <w:p>
      <w:pPr>
        <w:spacing w:before="120" w:beforeLines="50" w:after="120" w:afterLines="50" w:line="360" w:lineRule="auto"/>
        <w:ind w:firstLine="210" w:firstLineChars="100"/>
        <w:outlineLvl w:val="3"/>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3.正在施工的和新承接的项目情况汇总表</w:t>
      </w:r>
      <w:bookmarkEnd w:id="263"/>
    </w:p>
    <w:tbl>
      <w:tblPr>
        <w:tblStyle w:val="41"/>
        <w:tblW w:w="12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266"/>
        <w:gridCol w:w="1266"/>
        <w:gridCol w:w="2106"/>
        <w:gridCol w:w="1266"/>
        <w:gridCol w:w="1056"/>
        <w:gridCol w:w="1476"/>
        <w:gridCol w:w="1266"/>
        <w:gridCol w:w="1056"/>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56"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项目名称</w:t>
            </w:r>
          </w:p>
        </w:tc>
        <w:tc>
          <w:tcPr>
            <w:tcW w:w="1266"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项目所在地</w:t>
            </w:r>
          </w:p>
        </w:tc>
        <w:tc>
          <w:tcPr>
            <w:tcW w:w="1266"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发包人名称</w:t>
            </w:r>
          </w:p>
        </w:tc>
        <w:tc>
          <w:tcPr>
            <w:tcW w:w="2106"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发包人联系人及电话</w:t>
            </w:r>
          </w:p>
        </w:tc>
        <w:tc>
          <w:tcPr>
            <w:tcW w:w="1266"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签约合同价</w:t>
            </w:r>
          </w:p>
        </w:tc>
        <w:tc>
          <w:tcPr>
            <w:tcW w:w="1056"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开工日期</w:t>
            </w:r>
          </w:p>
        </w:tc>
        <w:tc>
          <w:tcPr>
            <w:tcW w:w="1476"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计划竣工日期</w:t>
            </w:r>
          </w:p>
        </w:tc>
        <w:tc>
          <w:tcPr>
            <w:tcW w:w="1266"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承担的工作</w:t>
            </w:r>
          </w:p>
        </w:tc>
        <w:tc>
          <w:tcPr>
            <w:tcW w:w="1056"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工程质量</w:t>
            </w:r>
          </w:p>
        </w:tc>
        <w:tc>
          <w:tcPr>
            <w:tcW w:w="1056" w:type="dxa"/>
            <w:shd w:val="clear" w:color="auto" w:fill="auto"/>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工程类别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5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26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26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10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26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05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47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26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05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05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5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26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26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10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26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05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47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26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05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05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5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26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26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10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26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05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47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26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05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05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5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26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26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10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26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05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47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26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05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05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5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26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26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10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26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05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47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26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05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05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5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26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26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10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26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05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47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26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05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05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5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26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26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10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26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05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47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26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05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05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5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26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26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10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26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05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47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26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05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05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5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26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26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210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26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05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47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26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05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c>
          <w:tcPr>
            <w:tcW w:w="1056" w:type="dxa"/>
            <w:shd w:val="clear" w:color="auto" w:fill="auto"/>
            <w:vAlign w:val="center"/>
          </w:tcPr>
          <w:p>
            <w:pPr>
              <w:spacing w:line="360" w:lineRule="auto"/>
              <w:jc w:val="center"/>
              <w:rPr>
                <w:rFonts w:asciiTheme="minorEastAsia" w:hAnsiTheme="minorEastAsia" w:eastAsiaTheme="minorEastAsia"/>
                <w:color w:val="auto"/>
                <w:szCs w:val="21"/>
                <w:highlight w:val="none"/>
              </w:rPr>
            </w:pPr>
          </w:p>
        </w:tc>
      </w:tr>
    </w:tbl>
    <w:p>
      <w:pPr>
        <w:spacing w:line="360" w:lineRule="auto"/>
        <w:rPr>
          <w:rFonts w:asciiTheme="minorEastAsia" w:hAnsiTheme="minorEastAsia" w:eastAsiaTheme="minorEastAsia"/>
          <w:color w:val="auto"/>
          <w:szCs w:val="21"/>
          <w:highlight w:val="none"/>
        </w:rPr>
        <w:sectPr>
          <w:pgSz w:w="16838" w:h="11906" w:orient="landscape"/>
          <w:pgMar w:top="1797" w:right="1440" w:bottom="1644" w:left="1440" w:header="851" w:footer="992" w:gutter="0"/>
          <w:cols w:space="425" w:num="1"/>
          <w:titlePg/>
          <w:docGrid w:linePitch="312" w:charSpace="0"/>
        </w:sectPr>
      </w:pPr>
    </w:p>
    <w:p>
      <w:pPr>
        <w:spacing w:before="120" w:beforeLines="50" w:after="120" w:afterLines="50" w:line="360" w:lineRule="auto"/>
        <w:outlineLvl w:val="3"/>
        <w:rPr>
          <w:rFonts w:asciiTheme="minorEastAsia" w:hAnsiTheme="minorEastAsia" w:eastAsiaTheme="minorEastAsia"/>
          <w:color w:val="auto"/>
          <w:szCs w:val="21"/>
          <w:highlight w:val="none"/>
        </w:rPr>
      </w:pPr>
      <w:bookmarkStart w:id="264" w:name="_Toc364679649"/>
      <w:r>
        <w:rPr>
          <w:rFonts w:hint="eastAsia" w:asciiTheme="minorEastAsia" w:hAnsiTheme="minorEastAsia" w:eastAsiaTheme="minorEastAsia"/>
          <w:color w:val="auto"/>
          <w:szCs w:val="21"/>
          <w:highlight w:val="none"/>
        </w:rPr>
        <w:t>4.近年财务状况表</w:t>
      </w:r>
      <w:bookmarkEnd w:id="264"/>
    </w:p>
    <w:p>
      <w:pPr>
        <w:tabs>
          <w:tab w:val="left" w:pos="425"/>
        </w:tabs>
        <w:spacing w:line="360" w:lineRule="auto"/>
        <w:ind w:firstLine="420" w:firstLineChars="200"/>
        <w:rPr>
          <w:color w:val="auto"/>
          <w:highlight w:val="none"/>
        </w:rPr>
      </w:pPr>
      <w:r>
        <w:rPr>
          <w:rFonts w:hint="eastAsia"/>
          <w:color w:val="auto"/>
          <w:highlight w:val="none"/>
        </w:rPr>
        <w:t>提供的具体要求见投标人须知前附表</w:t>
      </w:r>
      <w:r>
        <w:rPr>
          <w:color w:val="auto"/>
          <w:highlight w:val="none"/>
        </w:rPr>
        <w:t>10.2</w:t>
      </w:r>
      <w:r>
        <w:rPr>
          <w:rFonts w:hint="eastAsia"/>
          <w:color w:val="auto"/>
          <w:highlight w:val="none"/>
        </w:rPr>
        <w:t>。</w:t>
      </w:r>
    </w:p>
    <w:p>
      <w:pPr>
        <w:spacing w:line="360" w:lineRule="auto"/>
        <w:ind w:left="630" w:hanging="630" w:hangingChars="300"/>
        <w:rPr>
          <w:rFonts w:asciiTheme="minorEastAsia" w:hAnsiTheme="minorEastAsia" w:eastAsiaTheme="minorEastAsia"/>
          <w:color w:val="auto"/>
          <w:szCs w:val="21"/>
          <w:highlight w:val="none"/>
        </w:rPr>
      </w:pPr>
    </w:p>
    <w:p>
      <w:pPr>
        <w:tabs>
          <w:tab w:val="left" w:pos="425"/>
        </w:tabs>
        <w:spacing w:before="120" w:beforeLines="50" w:line="360" w:lineRule="auto"/>
        <w:outlineLvl w:val="3"/>
        <w:rPr>
          <w:rFonts w:asciiTheme="minorEastAsia" w:hAnsiTheme="minorEastAsia" w:eastAsiaTheme="minorEastAsia"/>
          <w:color w:val="auto"/>
          <w:szCs w:val="21"/>
          <w:highlight w:val="none"/>
        </w:rPr>
      </w:pPr>
      <w:bookmarkStart w:id="265" w:name="_Toc364679650"/>
      <w:r>
        <w:rPr>
          <w:rFonts w:hint="eastAsia" w:asciiTheme="minorEastAsia" w:hAnsiTheme="minorEastAsia" w:eastAsiaTheme="minorEastAsia"/>
          <w:color w:val="auto"/>
          <w:szCs w:val="21"/>
          <w:highlight w:val="none"/>
        </w:rPr>
        <w:t>5.近年信誉情况</w:t>
      </w:r>
      <w:bookmarkEnd w:id="265"/>
    </w:p>
    <w:p>
      <w:pPr>
        <w:spacing w:before="120" w:line="360" w:lineRule="auto"/>
        <w:ind w:firstLine="420" w:firstLineChars="200"/>
        <w:rPr>
          <w:rFonts w:ascii="宋体" w:hAnsi="宋体"/>
          <w:color w:val="auto"/>
          <w:szCs w:val="21"/>
          <w:highlight w:val="none"/>
        </w:rPr>
      </w:pPr>
      <w:r>
        <w:rPr>
          <w:rFonts w:hint="eastAsia" w:ascii="宋体" w:hAnsi="宋体"/>
          <w:color w:val="auto"/>
          <w:szCs w:val="21"/>
          <w:highlight w:val="none"/>
        </w:rPr>
        <w:t>指企业是否具备管理体系证书，企业信用情况，荣誉情况、履约情况，有未出现重大工程质量和安全事故不良记录，是否处于破产清偿状态以及诉讼及仲裁等内容。其中诉讼及仲裁仅限于投标人败诉的，且与履行施工承包合同有关的案件，不包括调解结案以及未裁决的仲裁或未终审判决的诉讼。应说明相关情况，法院或仲裁机构已作出判决或裁决的，应附此类判决、裁决等有关法律文书。</w:t>
      </w:r>
    </w:p>
    <w:p>
      <w:pPr>
        <w:tabs>
          <w:tab w:val="left" w:pos="425"/>
        </w:tabs>
        <w:spacing w:before="120"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提供的具体年份要求见投标人须知前附表3</w:t>
      </w:r>
      <w:r>
        <w:rPr>
          <w:rFonts w:ascii="宋体" w:hAnsi="宋体"/>
          <w:color w:val="auto"/>
          <w:szCs w:val="21"/>
          <w:highlight w:val="none"/>
        </w:rPr>
        <w:t>.6</w:t>
      </w:r>
      <w:r>
        <w:rPr>
          <w:rFonts w:hint="eastAsia" w:ascii="宋体" w:hAnsi="宋体"/>
          <w:color w:val="auto"/>
          <w:szCs w:val="21"/>
          <w:highlight w:val="none"/>
        </w:rPr>
        <w:t>。</w:t>
      </w:r>
    </w:p>
    <w:p>
      <w:pPr>
        <w:tabs>
          <w:tab w:val="left" w:pos="425"/>
        </w:tabs>
        <w:spacing w:before="120" w:beforeLines="50" w:line="360" w:lineRule="auto"/>
        <w:ind w:firstLine="411" w:firstLineChars="196"/>
        <w:rPr>
          <w:rFonts w:ascii="宋体" w:hAnsi="宋体"/>
          <w:color w:val="auto"/>
          <w:szCs w:val="21"/>
          <w:highlight w:val="none"/>
        </w:rPr>
      </w:pPr>
    </w:p>
    <w:p>
      <w:pPr>
        <w:spacing w:before="120" w:after="240" w:line="360" w:lineRule="auto"/>
        <w:rPr>
          <w:rFonts w:asciiTheme="minorEastAsia" w:hAnsiTheme="minorEastAsia" w:eastAsiaTheme="minorEastAsia"/>
          <w:color w:val="auto"/>
          <w:szCs w:val="21"/>
          <w:highlight w:val="none"/>
        </w:rPr>
      </w:pPr>
    </w:p>
    <w:p>
      <w:pPr>
        <w:widowControl/>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p>
    <w:p>
      <w:pPr>
        <w:spacing w:line="500" w:lineRule="exact"/>
        <w:outlineLvl w:val="3"/>
        <w:rPr>
          <w:rFonts w:ascii="Cambria" w:hAnsi="Cambria"/>
          <w:bCs/>
          <w:color w:val="auto"/>
          <w:szCs w:val="28"/>
          <w:highlight w:val="none"/>
        </w:rPr>
      </w:pPr>
      <w:r>
        <w:rPr>
          <w:rFonts w:hint="eastAsia" w:ascii="Cambria" w:hAnsi="Cambria"/>
          <w:bCs/>
          <w:color w:val="auto"/>
          <w:szCs w:val="28"/>
          <w:highlight w:val="none"/>
        </w:rPr>
        <w:t>6.</w:t>
      </w:r>
      <w:r>
        <w:rPr>
          <w:rFonts w:ascii="Cambria" w:hAnsi="Cambria"/>
          <w:bCs/>
          <w:color w:val="auto"/>
          <w:szCs w:val="28"/>
          <w:highlight w:val="none"/>
        </w:rPr>
        <w:t>无重大违法记录承诺书（格式）</w:t>
      </w:r>
    </w:p>
    <w:p>
      <w:pPr>
        <w:widowControl/>
        <w:ind w:firstLine="420" w:firstLineChars="200"/>
        <w:jc w:val="left"/>
        <w:rPr>
          <w:color w:val="auto"/>
          <w:szCs w:val="21"/>
          <w:highlight w:val="none"/>
        </w:rPr>
      </w:pPr>
    </w:p>
    <w:p>
      <w:pPr>
        <w:jc w:val="center"/>
        <w:rPr>
          <w:color w:val="auto"/>
          <w:highlight w:val="none"/>
        </w:rPr>
      </w:pPr>
      <w:r>
        <w:rPr>
          <w:rFonts w:hint="eastAsia"/>
          <w:color w:val="auto"/>
          <w:highlight w:val="none"/>
        </w:rPr>
        <w:t>无重大违法记录承诺书</w:t>
      </w:r>
    </w:p>
    <w:p>
      <w:pPr>
        <w:tabs>
          <w:tab w:val="left" w:pos="425"/>
        </w:tabs>
        <w:spacing w:before="120" w:beforeLines="50" w:line="360" w:lineRule="auto"/>
        <w:rPr>
          <w:rFonts w:ascii="宋体" w:hAnsi="宋体"/>
          <w:color w:val="auto"/>
          <w:szCs w:val="21"/>
          <w:highlight w:val="none"/>
        </w:rPr>
      </w:pPr>
    </w:p>
    <w:p>
      <w:pPr>
        <w:tabs>
          <w:tab w:val="left" w:pos="425"/>
        </w:tabs>
        <w:spacing w:before="120" w:beforeLines="50" w:line="360" w:lineRule="auto"/>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（采购人、采购代理机构）</w:t>
      </w:r>
      <w:r>
        <w:rPr>
          <w:rFonts w:hint="eastAsia" w:ascii="宋体" w:hAnsi="宋体"/>
          <w:color w:val="auto"/>
          <w:szCs w:val="21"/>
          <w:highlight w:val="none"/>
        </w:rPr>
        <w:t>：</w:t>
      </w:r>
    </w:p>
    <w:p>
      <w:pPr>
        <w:tabs>
          <w:tab w:val="left" w:pos="425"/>
        </w:tabs>
        <w:spacing w:before="120" w:beforeLines="50" w:line="360" w:lineRule="auto"/>
        <w:ind w:firstLine="315" w:firstLineChars="150"/>
        <w:rPr>
          <w:rFonts w:ascii="宋体" w:hAnsi="宋体"/>
          <w:color w:val="auto"/>
          <w:szCs w:val="21"/>
          <w:highlight w:val="none"/>
        </w:rPr>
      </w:pPr>
      <w:r>
        <w:rPr>
          <w:rFonts w:hint="eastAsia" w:ascii="宋体" w:hAnsi="宋体" w:cs="宋体"/>
          <w:color w:val="auto"/>
          <w:szCs w:val="21"/>
          <w:highlight w:val="none"/>
        </w:rPr>
        <w:t> </w:t>
      </w:r>
      <w:r>
        <w:rPr>
          <w:rFonts w:hint="eastAsia"/>
          <w:color w:val="auto"/>
          <w:szCs w:val="21"/>
          <w:highlight w:val="none"/>
        </w:rPr>
        <w:t>在参加本次投标截止之日起前三年内，我公司未因违法经营受到刑事处罚或者责令停产停业、吊销许可证或者执照、较大数额罚款等行政处罚。</w:t>
      </w:r>
      <w:r>
        <w:rPr>
          <w:rFonts w:hint="eastAsia" w:ascii="宋体" w:hAnsi="宋体" w:cs="宋体"/>
          <w:color w:val="auto"/>
          <w:szCs w:val="21"/>
          <w:highlight w:val="none"/>
        </w:rPr>
        <w:t> </w:t>
      </w:r>
    </w:p>
    <w:p>
      <w:pPr>
        <w:tabs>
          <w:tab w:val="left" w:pos="425"/>
        </w:tabs>
        <w:spacing w:before="120" w:beforeLines="50" w:line="360" w:lineRule="auto"/>
        <w:ind w:firstLine="315" w:firstLineChars="150"/>
        <w:rPr>
          <w:rFonts w:ascii="宋体" w:hAnsi="宋体"/>
          <w:color w:val="auto"/>
          <w:szCs w:val="21"/>
          <w:highlight w:val="none"/>
        </w:rPr>
      </w:pPr>
      <w:r>
        <w:rPr>
          <w:rFonts w:hint="eastAsia" w:ascii="宋体" w:hAnsi="宋体" w:cs="宋体"/>
          <w:color w:val="auto"/>
          <w:szCs w:val="21"/>
          <w:highlight w:val="none"/>
        </w:rPr>
        <w:t> </w:t>
      </w:r>
    </w:p>
    <w:p>
      <w:pPr>
        <w:tabs>
          <w:tab w:val="left" w:pos="425"/>
        </w:tabs>
        <w:spacing w:before="120" w:beforeLines="50" w:line="360" w:lineRule="auto"/>
        <w:ind w:firstLine="3402" w:firstLineChars="1620"/>
        <w:rPr>
          <w:rFonts w:ascii="宋体" w:hAnsi="宋体"/>
          <w:color w:val="auto"/>
          <w:szCs w:val="21"/>
          <w:highlight w:val="none"/>
        </w:rPr>
      </w:pPr>
      <w:r>
        <w:rPr>
          <w:rFonts w:hint="eastAsia" w:ascii="宋体" w:hAnsi="宋体"/>
          <w:color w:val="auto"/>
          <w:szCs w:val="21"/>
          <w:highlight w:val="none"/>
        </w:rPr>
        <w:t>投标人（单位公章）：</w:t>
      </w:r>
      <w:r>
        <w:rPr>
          <w:rFonts w:hint="eastAsia" w:ascii="宋体" w:hAnsi="宋体" w:cs="宋体"/>
          <w:color w:val="auto"/>
          <w:szCs w:val="21"/>
          <w:highlight w:val="none"/>
          <w:u w:val="single"/>
        </w:rPr>
        <w:t> </w:t>
      </w:r>
      <w:r>
        <w:rPr>
          <w:rFonts w:ascii="宋体" w:hAnsi="宋体"/>
          <w:color w:val="auto"/>
          <w:szCs w:val="21"/>
          <w:highlight w:val="none"/>
          <w:u w:val="single"/>
        </w:rPr>
        <w:t xml:space="preserve">                      </w:t>
      </w:r>
      <w:r>
        <w:rPr>
          <w:rFonts w:hint="eastAsia" w:ascii="宋体" w:hAnsi="宋体" w:cs="宋体"/>
          <w:color w:val="auto"/>
          <w:szCs w:val="21"/>
          <w:highlight w:val="none"/>
          <w:u w:val="single"/>
        </w:rPr>
        <w:t> </w:t>
      </w:r>
      <w:r>
        <w:rPr>
          <w:rFonts w:ascii="宋体" w:hAnsi="宋体"/>
          <w:color w:val="auto"/>
          <w:szCs w:val="21"/>
          <w:highlight w:val="none"/>
        </w:rPr>
        <w:t xml:space="preserve"> </w:t>
      </w:r>
    </w:p>
    <w:p>
      <w:pPr>
        <w:tabs>
          <w:tab w:val="left" w:pos="425"/>
        </w:tabs>
        <w:spacing w:before="120" w:beforeLines="50" w:line="360" w:lineRule="auto"/>
        <w:ind w:firstLine="3402" w:firstLineChars="1620"/>
        <w:rPr>
          <w:rFonts w:ascii="宋体" w:hAnsi="宋体"/>
          <w:color w:val="auto"/>
          <w:szCs w:val="21"/>
          <w:highlight w:val="none"/>
          <w:u w:val="single"/>
        </w:rPr>
      </w:pPr>
      <w:r>
        <w:rPr>
          <w:rFonts w:hint="eastAsia" w:ascii="宋体" w:hAnsi="宋体"/>
          <w:color w:val="auto"/>
          <w:szCs w:val="21"/>
          <w:highlight w:val="none"/>
        </w:rPr>
        <w:t>法定代表人（签字或盖章）：</w:t>
      </w:r>
      <w:r>
        <w:rPr>
          <w:rFonts w:hint="eastAsia" w:ascii="宋体" w:hAnsi="宋体" w:cs="宋体"/>
          <w:color w:val="auto"/>
          <w:szCs w:val="21"/>
          <w:highlight w:val="none"/>
          <w:u w:val="single"/>
        </w:rPr>
        <w:t> </w:t>
      </w:r>
      <w:r>
        <w:rPr>
          <w:rFonts w:ascii="宋体" w:hAnsi="宋体" w:cs="仿宋"/>
          <w:color w:val="auto"/>
          <w:szCs w:val="21"/>
          <w:highlight w:val="none"/>
          <w:u w:val="single"/>
        </w:rPr>
        <w:t xml:space="preserve">  </w:t>
      </w:r>
      <w:r>
        <w:rPr>
          <w:rFonts w:hint="eastAsia" w:ascii="宋体" w:hAnsi="宋体" w:cs="宋体"/>
          <w:color w:val="auto"/>
          <w:szCs w:val="21"/>
          <w:highlight w:val="none"/>
          <w:u w:val="single"/>
        </w:rPr>
        <w:t>          </w:t>
      </w:r>
    </w:p>
    <w:p>
      <w:pPr>
        <w:tabs>
          <w:tab w:val="left" w:pos="425"/>
        </w:tabs>
        <w:spacing w:before="120" w:beforeLines="50" w:line="360" w:lineRule="auto"/>
        <w:ind w:firstLine="3402" w:firstLineChars="1620"/>
        <w:rPr>
          <w:rFonts w:ascii="宋体" w:hAnsi="宋体"/>
          <w:color w:val="auto"/>
          <w:szCs w:val="21"/>
          <w:highlight w:val="none"/>
        </w:rPr>
      </w:pPr>
      <w:r>
        <w:rPr>
          <w:rFonts w:hint="eastAsia" w:ascii="宋体" w:hAnsi="宋体"/>
          <w:color w:val="auto"/>
          <w:szCs w:val="21"/>
          <w:highlight w:val="none"/>
        </w:rPr>
        <w:t>手机：</w:t>
      </w:r>
      <w:r>
        <w:rPr>
          <w:rFonts w:hint="eastAsia" w:ascii="宋体" w:hAnsi="宋体" w:cs="宋体"/>
          <w:color w:val="auto"/>
          <w:szCs w:val="21"/>
          <w:highlight w:val="none"/>
        </w:rPr>
        <w:t> </w:t>
      </w:r>
      <w:r>
        <w:rPr>
          <w:rFonts w:hint="eastAsia" w:ascii="宋体" w:hAnsi="宋体" w:cs="宋体"/>
          <w:color w:val="auto"/>
          <w:szCs w:val="21"/>
          <w:highlight w:val="none"/>
          <w:u w:val="single"/>
        </w:rPr>
        <w:t>  </w:t>
      </w:r>
      <w:r>
        <w:rPr>
          <w:rFonts w:ascii="宋体" w:hAnsi="宋体"/>
          <w:color w:val="auto"/>
          <w:szCs w:val="21"/>
          <w:highlight w:val="none"/>
          <w:u w:val="single"/>
        </w:rPr>
        <w:t xml:space="preserve">                      </w:t>
      </w:r>
      <w:r>
        <w:rPr>
          <w:rFonts w:hint="eastAsia" w:ascii="宋体" w:hAnsi="宋体" w:cs="宋体"/>
          <w:color w:val="auto"/>
          <w:szCs w:val="21"/>
          <w:highlight w:val="none"/>
          <w:u w:val="single"/>
        </w:rPr>
        <w:t>  </w:t>
      </w:r>
    </w:p>
    <w:p>
      <w:pPr>
        <w:tabs>
          <w:tab w:val="left" w:pos="425"/>
        </w:tabs>
        <w:spacing w:before="120" w:beforeLines="50" w:line="360" w:lineRule="auto"/>
        <w:ind w:firstLine="3402" w:firstLineChars="1620"/>
        <w:rPr>
          <w:rFonts w:ascii="宋体" w:hAnsi="宋体"/>
          <w:color w:val="auto"/>
          <w:szCs w:val="21"/>
          <w:highlight w:val="none"/>
        </w:rPr>
      </w:pPr>
      <w:r>
        <w:rPr>
          <w:rFonts w:hint="eastAsia" w:ascii="宋体" w:hAnsi="宋体"/>
          <w:color w:val="auto"/>
          <w:szCs w:val="21"/>
          <w:highlight w:val="none"/>
        </w:rPr>
        <w:t>委托代理人（签字或盖章）：</w:t>
      </w:r>
      <w:r>
        <w:rPr>
          <w:rFonts w:hint="eastAsia" w:ascii="宋体" w:hAnsi="宋体" w:cs="宋体"/>
          <w:color w:val="auto"/>
          <w:szCs w:val="21"/>
          <w:highlight w:val="none"/>
          <w:u w:val="single"/>
        </w:rPr>
        <w:t>    </w:t>
      </w:r>
      <w:r>
        <w:rPr>
          <w:rFonts w:ascii="宋体" w:hAnsi="宋体" w:cs="仿宋"/>
          <w:color w:val="auto"/>
          <w:szCs w:val="21"/>
          <w:highlight w:val="none"/>
          <w:u w:val="single"/>
        </w:rPr>
        <w:t xml:space="preserve">  </w:t>
      </w:r>
      <w:r>
        <w:rPr>
          <w:rFonts w:hint="eastAsia" w:ascii="宋体" w:hAnsi="宋体" w:cs="宋体"/>
          <w:color w:val="auto"/>
          <w:szCs w:val="21"/>
          <w:highlight w:val="none"/>
          <w:u w:val="single"/>
        </w:rPr>
        <w:t>       </w:t>
      </w:r>
    </w:p>
    <w:p>
      <w:pPr>
        <w:tabs>
          <w:tab w:val="left" w:pos="425"/>
        </w:tabs>
        <w:spacing w:before="120" w:beforeLines="50" w:line="360" w:lineRule="auto"/>
        <w:ind w:firstLine="3402" w:firstLineChars="1620"/>
        <w:rPr>
          <w:rFonts w:ascii="宋体" w:hAnsi="宋体" w:cs="宋体"/>
          <w:color w:val="auto"/>
          <w:szCs w:val="21"/>
          <w:highlight w:val="none"/>
          <w:u w:val="single"/>
        </w:rPr>
      </w:pPr>
      <w:r>
        <w:rPr>
          <w:rFonts w:hint="eastAsia" w:ascii="宋体" w:hAnsi="宋体"/>
          <w:color w:val="auto"/>
          <w:szCs w:val="21"/>
          <w:highlight w:val="none"/>
        </w:rPr>
        <w:t>手机：</w:t>
      </w:r>
      <w:r>
        <w:rPr>
          <w:rFonts w:hint="eastAsia" w:ascii="宋体" w:hAnsi="宋体" w:cs="宋体"/>
          <w:color w:val="auto"/>
          <w:szCs w:val="21"/>
          <w:highlight w:val="none"/>
          <w:u w:val="single"/>
        </w:rPr>
        <w:t>   </w:t>
      </w:r>
      <w:r>
        <w:rPr>
          <w:rFonts w:ascii="宋体" w:hAnsi="宋体"/>
          <w:color w:val="auto"/>
          <w:szCs w:val="21"/>
          <w:highlight w:val="none"/>
          <w:u w:val="single"/>
        </w:rPr>
        <w:t xml:space="preserve">             </w:t>
      </w:r>
      <w:r>
        <w:rPr>
          <w:rFonts w:hint="eastAsia" w:ascii="宋体" w:hAnsi="宋体" w:cs="宋体"/>
          <w:color w:val="auto"/>
          <w:szCs w:val="21"/>
          <w:highlight w:val="none"/>
          <w:u w:val="single"/>
        </w:rPr>
        <w:t>      </w:t>
      </w:r>
    </w:p>
    <w:p>
      <w:pPr>
        <w:tabs>
          <w:tab w:val="left" w:pos="425"/>
        </w:tabs>
        <w:spacing w:before="120" w:beforeLines="50" w:line="360" w:lineRule="auto"/>
        <w:ind w:firstLine="4137" w:firstLineChars="197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p>
    <w:p>
      <w:pPr>
        <w:spacing w:before="120" w:after="240" w:line="360" w:lineRule="auto"/>
        <w:rPr>
          <w:rFonts w:asciiTheme="minorEastAsia" w:hAnsiTheme="minorEastAsia" w:eastAsiaTheme="minorEastAsia"/>
          <w:color w:val="auto"/>
          <w:szCs w:val="21"/>
          <w:highlight w:val="none"/>
        </w:rPr>
      </w:pPr>
    </w:p>
    <w:p>
      <w:pPr>
        <w:spacing w:before="120" w:after="240" w:line="360" w:lineRule="auto"/>
        <w:rPr>
          <w:rFonts w:asciiTheme="minorEastAsia" w:hAnsiTheme="minorEastAsia" w:eastAsiaTheme="minorEastAsia"/>
          <w:color w:val="auto"/>
          <w:szCs w:val="21"/>
          <w:highlight w:val="none"/>
        </w:rPr>
      </w:pPr>
    </w:p>
    <w:p>
      <w:pPr>
        <w:spacing w:before="120" w:after="240" w:line="360" w:lineRule="auto"/>
        <w:rPr>
          <w:rFonts w:asciiTheme="minorEastAsia" w:hAnsiTheme="minorEastAsia" w:eastAsiaTheme="minorEastAsia"/>
          <w:color w:val="auto"/>
          <w:szCs w:val="21"/>
          <w:highlight w:val="none"/>
        </w:rPr>
      </w:pPr>
    </w:p>
    <w:p>
      <w:pPr>
        <w:widowControl/>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p>
    <w:p>
      <w:pPr>
        <w:tabs>
          <w:tab w:val="left" w:pos="425"/>
        </w:tabs>
        <w:spacing w:before="120" w:beforeLines="50" w:line="360" w:lineRule="auto"/>
        <w:outlineLvl w:val="3"/>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中小企业声明函</w:t>
      </w:r>
    </w:p>
    <w:p>
      <w:pPr>
        <w:spacing w:before="120" w:beforeLines="50" w:line="360" w:lineRule="auto"/>
        <w:ind w:firstLine="315" w:firstLineChars="150"/>
        <w:rPr>
          <w:rFonts w:ascii="宋体" w:hAnsi="宋体"/>
          <w:color w:val="auto"/>
          <w:highlight w:val="none"/>
        </w:rPr>
      </w:pPr>
      <w:r>
        <w:rPr>
          <w:rFonts w:hint="eastAsia" w:ascii="宋体" w:hAnsi="宋体"/>
          <w:color w:val="auto"/>
          <w:highlight w:val="none"/>
        </w:rPr>
        <w:t>本公司郑重声明，根据《政府采购促进中小企业发展暂行办法》（财库〔2011〕181号）的规定，本公司为</w:t>
      </w:r>
      <w:r>
        <w:rPr>
          <w:rFonts w:hint="eastAsia" w:ascii="宋体" w:hAnsi="宋体"/>
          <w:color w:val="auto"/>
          <w:highlight w:val="none"/>
          <w:u w:val="single"/>
        </w:rPr>
        <w:t xml:space="preserve">         </w:t>
      </w:r>
      <w:r>
        <w:rPr>
          <w:rFonts w:hint="eastAsia" w:ascii="宋体" w:hAnsi="宋体"/>
          <w:color w:val="auto"/>
          <w:highlight w:val="none"/>
        </w:rPr>
        <w:t>（请填写：中型、小型、微型）企业。即，本公司同时满足以下条件：  1.根据《工业和信息化部、国家统计局、国家发展和改革委员会、财政部关于印发中小企业划型标准规定的通知》（工信部联企业〔2011〕300号）规定的划分标准，本公司为</w:t>
      </w:r>
      <w:r>
        <w:rPr>
          <w:rFonts w:hint="eastAsia" w:ascii="宋体" w:hAnsi="宋体"/>
          <w:color w:val="auto"/>
          <w:highlight w:val="none"/>
          <w:u w:val="single"/>
        </w:rPr>
        <w:t xml:space="preserve">    </w:t>
      </w:r>
      <w:r>
        <w:rPr>
          <w:rFonts w:hint="eastAsia" w:ascii="宋体" w:hAnsi="宋体"/>
          <w:color w:val="auto"/>
          <w:highlight w:val="none"/>
        </w:rPr>
        <w:t>（请填写：中型、小型、微型）企业。</w:t>
      </w:r>
    </w:p>
    <w:p>
      <w:pPr>
        <w:spacing w:before="120" w:beforeLines="50" w:line="360" w:lineRule="auto"/>
        <w:ind w:firstLine="315" w:firstLineChars="150"/>
        <w:rPr>
          <w:rFonts w:ascii="宋体" w:hAnsi="宋体"/>
          <w:color w:val="auto"/>
          <w:highlight w:val="none"/>
        </w:rPr>
      </w:pPr>
      <w:r>
        <w:rPr>
          <w:rFonts w:hint="eastAsia" w:ascii="宋体" w:hAnsi="宋体"/>
          <w:color w:val="auto"/>
          <w:highlight w:val="none"/>
        </w:rPr>
        <w:t xml:space="preserve">  2.本公司参加</w:t>
      </w:r>
      <w:r>
        <w:rPr>
          <w:rFonts w:hint="eastAsia" w:ascii="宋体" w:hAnsi="宋体"/>
          <w:color w:val="auto"/>
          <w:highlight w:val="none"/>
          <w:u w:val="single"/>
        </w:rPr>
        <w:t xml:space="preserve">         </w:t>
      </w:r>
      <w:r>
        <w:rPr>
          <w:rFonts w:hint="eastAsia" w:ascii="宋体" w:hAnsi="宋体"/>
          <w:color w:val="auto"/>
          <w:highlight w:val="none"/>
        </w:rPr>
        <w:t>单位的</w:t>
      </w:r>
      <w:r>
        <w:rPr>
          <w:rFonts w:hint="eastAsia" w:ascii="宋体" w:hAnsi="宋体"/>
          <w:color w:val="auto"/>
          <w:highlight w:val="none"/>
          <w:u w:val="single"/>
        </w:rPr>
        <w:t xml:space="preserve">         </w:t>
      </w:r>
      <w:r>
        <w:rPr>
          <w:rFonts w:hint="eastAsia" w:ascii="宋体" w:hAnsi="宋体"/>
          <w:color w:val="auto"/>
          <w:highlight w:val="none"/>
        </w:rPr>
        <w:t>项目采购活动提供本企业制造的货物，由本企业承担工程、提供服务，或者提供其他</w:t>
      </w:r>
      <w:r>
        <w:rPr>
          <w:rFonts w:hint="eastAsia" w:ascii="宋体" w:hAnsi="宋体"/>
          <w:color w:val="auto"/>
          <w:highlight w:val="none"/>
          <w:u w:val="single"/>
        </w:rPr>
        <w:t xml:space="preserve">        </w:t>
      </w:r>
      <w:r>
        <w:rPr>
          <w:rFonts w:hint="eastAsia" w:ascii="宋体" w:hAnsi="宋体"/>
          <w:color w:val="auto"/>
          <w:highlight w:val="none"/>
        </w:rPr>
        <w:t>（请填写：中型、小型、微型）企业制造的货物。本条所称货物不包括使用大型企业注册商标的货物。</w:t>
      </w:r>
    </w:p>
    <w:p>
      <w:pPr>
        <w:spacing w:before="120" w:beforeLines="50" w:line="360" w:lineRule="auto"/>
        <w:ind w:firstLine="315" w:firstLineChars="150"/>
        <w:rPr>
          <w:rFonts w:ascii="宋体" w:hAnsi="宋体"/>
          <w:color w:val="auto"/>
          <w:highlight w:val="none"/>
        </w:rPr>
      </w:pPr>
      <w:r>
        <w:rPr>
          <w:rFonts w:hint="eastAsia" w:ascii="宋体" w:hAnsi="宋体"/>
          <w:color w:val="auto"/>
          <w:highlight w:val="none"/>
        </w:rPr>
        <w:t xml:space="preserve">  本公司对上述声明的真实性负责。如有虚假，将依法承担相应责任。</w:t>
      </w:r>
    </w:p>
    <w:p>
      <w:pPr>
        <w:rPr>
          <w:rFonts w:ascii="宋体" w:hAnsi="宋体"/>
          <w:color w:val="auto"/>
          <w:highlight w:val="none"/>
        </w:rPr>
      </w:pPr>
    </w:p>
    <w:p>
      <w:pPr>
        <w:spacing w:line="360" w:lineRule="auto"/>
        <w:jc w:val="right"/>
        <w:rPr>
          <w:rFonts w:ascii="宋体" w:hAnsi="宋体"/>
          <w:color w:val="auto"/>
          <w:highlight w:val="none"/>
        </w:rPr>
      </w:pPr>
    </w:p>
    <w:p>
      <w:pPr>
        <w:spacing w:line="360" w:lineRule="auto"/>
        <w:jc w:val="right"/>
        <w:rPr>
          <w:rFonts w:ascii="宋体" w:hAnsi="宋体"/>
          <w:color w:val="auto"/>
          <w:highlight w:val="none"/>
        </w:rPr>
      </w:pPr>
      <w:r>
        <w:rPr>
          <w:rFonts w:ascii="宋体" w:hAnsi="宋体"/>
          <w:color w:val="auto"/>
          <w:highlight w:val="none"/>
        </w:rPr>
        <w:t>企业名称（盖章）：　　　　　　　　　</w:t>
      </w:r>
      <w:r>
        <w:rPr>
          <w:rFonts w:ascii="宋体" w:hAnsi="宋体"/>
          <w:color w:val="auto"/>
          <w:highlight w:val="none"/>
        </w:rPr>
        <w:br w:type="textWrapping"/>
      </w:r>
      <w:r>
        <w:rPr>
          <w:rFonts w:ascii="宋体" w:hAnsi="宋体"/>
          <w:color w:val="auto"/>
          <w:highlight w:val="none"/>
        </w:rPr>
        <w:t>日　期：   年  月</w:t>
      </w:r>
      <w:r>
        <w:rPr>
          <w:rFonts w:hint="eastAsia" w:ascii="宋体" w:hAnsi="宋体"/>
          <w:color w:val="auto"/>
          <w:highlight w:val="none"/>
        </w:rPr>
        <w:t xml:space="preserve">  </w:t>
      </w:r>
      <w:r>
        <w:rPr>
          <w:rFonts w:ascii="宋体" w:hAnsi="宋体"/>
          <w:color w:val="auto"/>
          <w:highlight w:val="none"/>
        </w:rPr>
        <w:t>日</w:t>
      </w:r>
    </w:p>
    <w:p>
      <w:pPr>
        <w:spacing w:line="360" w:lineRule="auto"/>
        <w:jc w:val="right"/>
        <w:rPr>
          <w:rFonts w:ascii="宋体" w:hAnsi="宋体"/>
          <w:color w:val="auto"/>
          <w:highlight w:val="none"/>
        </w:rPr>
      </w:pPr>
    </w:p>
    <w:p>
      <w:pPr>
        <w:spacing w:line="360" w:lineRule="auto"/>
        <w:jc w:val="right"/>
        <w:rPr>
          <w:rFonts w:ascii="宋体" w:hAnsi="宋体"/>
          <w:bCs/>
          <w:color w:val="auto"/>
          <w:szCs w:val="21"/>
          <w:highlight w:val="none"/>
        </w:rPr>
      </w:pPr>
    </w:p>
    <w:p>
      <w:pPr>
        <w:tabs>
          <w:tab w:val="left" w:pos="425"/>
        </w:tabs>
        <w:spacing w:before="120" w:beforeLines="50" w:line="360" w:lineRule="auto"/>
        <w:ind w:firstLine="315" w:firstLineChars="150"/>
        <w:rPr>
          <w:rFonts w:ascii="宋体" w:hAnsi="宋体"/>
          <w:bCs/>
          <w:color w:val="auto"/>
          <w:szCs w:val="21"/>
          <w:highlight w:val="none"/>
        </w:rPr>
      </w:pPr>
    </w:p>
    <w:p>
      <w:pPr>
        <w:rPr>
          <w:rFonts w:ascii="宋体" w:hAnsi="宋体"/>
          <w:bCs/>
          <w:color w:val="auto"/>
          <w:szCs w:val="21"/>
          <w:highlight w:val="none"/>
        </w:rPr>
      </w:pPr>
      <w:r>
        <w:rPr>
          <w:rFonts w:ascii="宋体" w:hAnsi="宋体"/>
          <w:bCs/>
          <w:color w:val="auto"/>
          <w:szCs w:val="21"/>
          <w:highlight w:val="none"/>
        </w:rPr>
        <w:t>备注：</w:t>
      </w:r>
    </w:p>
    <w:p>
      <w:pPr>
        <w:numPr>
          <w:ilvl w:val="0"/>
          <w:numId w:val="5"/>
        </w:numPr>
        <w:adjustRightInd w:val="0"/>
        <w:spacing w:line="360" w:lineRule="auto"/>
        <w:ind w:left="422" w:right="63" w:rightChars="30" w:hanging="422"/>
        <w:rPr>
          <w:rFonts w:ascii="宋体" w:hAnsi="宋体"/>
          <w:bCs/>
          <w:color w:val="auto"/>
          <w:kern w:val="0"/>
          <w:szCs w:val="21"/>
          <w:highlight w:val="none"/>
        </w:rPr>
      </w:pPr>
      <w:r>
        <w:rPr>
          <w:rFonts w:hint="eastAsia" w:ascii="宋体" w:hAnsi="宋体"/>
          <w:bCs/>
          <w:color w:val="auto"/>
          <w:kern w:val="0"/>
          <w:szCs w:val="21"/>
          <w:highlight w:val="none"/>
        </w:rPr>
        <w:t>本声明函适用于所有在中国境内依法设立的各类所有制和各种组织形式的企业，</w:t>
      </w:r>
      <w:r>
        <w:rPr>
          <w:rFonts w:ascii="宋体" w:hAnsi="宋体" w:cs="宋体"/>
          <w:b/>
          <w:color w:val="auto"/>
          <w:kern w:val="0"/>
          <w:szCs w:val="21"/>
          <w:highlight w:val="none"/>
        </w:rPr>
        <w:t>个体工商户和本规定</w:t>
      </w:r>
      <w:r>
        <w:rPr>
          <w:rFonts w:hint="eastAsia" w:ascii="宋体" w:hAnsi="宋体" w:cs="宋体"/>
          <w:b/>
          <w:color w:val="auto"/>
          <w:kern w:val="0"/>
          <w:szCs w:val="21"/>
          <w:highlight w:val="none"/>
        </w:rPr>
        <w:t>（</w:t>
      </w:r>
      <w:r>
        <w:rPr>
          <w:rFonts w:ascii="宋体" w:hAnsi="宋体"/>
          <w:b/>
          <w:color w:val="auto"/>
          <w:kern w:val="0"/>
          <w:szCs w:val="20"/>
          <w:highlight w:val="none"/>
        </w:rPr>
        <w:t>工信部联企业〔2011〕300号</w:t>
      </w:r>
      <w:r>
        <w:rPr>
          <w:rFonts w:hint="eastAsia" w:ascii="宋体" w:hAnsi="宋体" w:cs="宋体"/>
          <w:b/>
          <w:color w:val="auto"/>
          <w:kern w:val="0"/>
          <w:szCs w:val="21"/>
          <w:highlight w:val="none"/>
        </w:rPr>
        <w:t>）</w:t>
      </w:r>
      <w:r>
        <w:rPr>
          <w:rFonts w:ascii="宋体" w:hAnsi="宋体" w:cs="宋体"/>
          <w:b/>
          <w:color w:val="auto"/>
          <w:kern w:val="0"/>
          <w:szCs w:val="21"/>
          <w:highlight w:val="none"/>
        </w:rPr>
        <w:t>以外的行业，参照本规定进行划型。</w:t>
      </w:r>
      <w:r>
        <w:rPr>
          <w:rFonts w:hint="eastAsia" w:ascii="宋体" w:hAnsi="宋体"/>
          <w:bCs/>
          <w:color w:val="auto"/>
          <w:kern w:val="0"/>
          <w:szCs w:val="21"/>
          <w:highlight w:val="none"/>
        </w:rPr>
        <w:t>事业单位、团体组织等非企业性质的政府采购供应商，不属于中小企业划型标准确定的中小企业，不得按《关于印发中小企业划型标准规定的通知》规定声明为中小微企业，也不适用《政府采购促进中小企业发展暂行办法》。</w:t>
      </w:r>
    </w:p>
    <w:p>
      <w:pPr>
        <w:numPr>
          <w:ilvl w:val="0"/>
          <w:numId w:val="5"/>
        </w:numPr>
        <w:adjustRightInd w:val="0"/>
        <w:spacing w:line="360" w:lineRule="auto"/>
        <w:ind w:left="422" w:right="63" w:rightChars="30" w:hanging="422"/>
        <w:rPr>
          <w:rFonts w:ascii="宋体" w:hAnsi="宋体"/>
          <w:bCs/>
          <w:color w:val="auto"/>
          <w:kern w:val="0"/>
          <w:szCs w:val="21"/>
          <w:highlight w:val="none"/>
        </w:rPr>
      </w:pPr>
      <w:r>
        <w:rPr>
          <w:rFonts w:ascii="宋体" w:hAnsi="宋体"/>
          <w:bCs/>
          <w:color w:val="auto"/>
          <w:kern w:val="0"/>
          <w:szCs w:val="21"/>
          <w:highlight w:val="none"/>
        </w:rPr>
        <w:t>请按工信部联企业〔2011〕300号文中的中小企业划分标准，填写上述声明函。</w:t>
      </w:r>
    </w:p>
    <w:p>
      <w:pPr>
        <w:numPr>
          <w:ilvl w:val="0"/>
          <w:numId w:val="5"/>
        </w:numPr>
        <w:adjustRightInd w:val="0"/>
        <w:spacing w:line="360" w:lineRule="auto"/>
        <w:ind w:left="422" w:right="63" w:rightChars="30" w:hanging="422"/>
        <w:rPr>
          <w:rFonts w:ascii="宋体" w:hAnsi="宋体"/>
          <w:bCs/>
          <w:color w:val="auto"/>
          <w:kern w:val="0"/>
          <w:szCs w:val="21"/>
          <w:highlight w:val="none"/>
        </w:rPr>
      </w:pPr>
      <w:r>
        <w:rPr>
          <w:rFonts w:hint="eastAsia" w:ascii="宋体" w:hAnsi="宋体"/>
          <w:b/>
          <w:bCs/>
          <w:color w:val="auto"/>
          <w:kern w:val="0"/>
          <w:szCs w:val="21"/>
          <w:highlight w:val="none"/>
        </w:rPr>
        <w:t>如为联合体投标，此附件联合体各方均应提供。</w:t>
      </w:r>
    </w:p>
    <w:p>
      <w:pPr>
        <w:numPr>
          <w:ilvl w:val="0"/>
          <w:numId w:val="5"/>
        </w:numPr>
        <w:adjustRightInd w:val="0"/>
        <w:spacing w:line="360" w:lineRule="auto"/>
        <w:ind w:left="422" w:right="63" w:rightChars="30" w:hanging="422"/>
        <w:rPr>
          <w:rFonts w:ascii="宋体" w:hAnsi="宋体"/>
          <w:bCs/>
          <w:color w:val="auto"/>
          <w:kern w:val="0"/>
          <w:szCs w:val="21"/>
          <w:highlight w:val="none"/>
        </w:rPr>
      </w:pPr>
      <w:r>
        <w:rPr>
          <w:rFonts w:hint="eastAsia" w:ascii="宋体" w:hAnsi="宋体"/>
          <w:b/>
          <w:bCs/>
          <w:color w:val="auto"/>
          <w:kern w:val="0"/>
          <w:szCs w:val="21"/>
          <w:highlight w:val="none"/>
        </w:rPr>
        <w:t>中标人为中小企业的，中标公告将公告其《中小企业声明函》。</w:t>
      </w:r>
    </w:p>
    <w:p>
      <w:pPr>
        <w:widowControl/>
        <w:jc w:val="left"/>
        <w:rPr>
          <w:rFonts w:ascii="宋体" w:hAnsi="宋体"/>
          <w:color w:val="auto"/>
          <w:szCs w:val="21"/>
          <w:highlight w:val="none"/>
        </w:rPr>
      </w:pPr>
      <w:r>
        <w:rPr>
          <w:rFonts w:ascii="宋体" w:hAnsi="宋体"/>
          <w:color w:val="auto"/>
          <w:szCs w:val="21"/>
          <w:highlight w:val="none"/>
        </w:rPr>
        <w:br w:type="page"/>
      </w:r>
    </w:p>
    <w:p>
      <w:pPr>
        <w:tabs>
          <w:tab w:val="left" w:pos="425"/>
        </w:tabs>
        <w:spacing w:before="120" w:beforeLines="50" w:line="360" w:lineRule="auto"/>
        <w:jc w:val="left"/>
        <w:outlineLvl w:val="3"/>
        <w:rPr>
          <w:rFonts w:ascii="宋体" w:hAnsi="宋体"/>
          <w:color w:val="auto"/>
          <w:szCs w:val="21"/>
          <w:highlight w:val="none"/>
        </w:rPr>
      </w:pPr>
      <w:r>
        <w:rPr>
          <w:rFonts w:hint="eastAsia" w:ascii="宋体" w:hAnsi="宋体"/>
          <w:color w:val="auto"/>
          <w:szCs w:val="21"/>
          <w:highlight w:val="none"/>
        </w:rPr>
        <w:t>8</w:t>
      </w:r>
      <w:bookmarkStart w:id="266" w:name="_Toc432432536"/>
      <w:r>
        <w:rPr>
          <w:rFonts w:hint="eastAsia" w:ascii="宋体" w:hAnsi="宋体"/>
          <w:color w:val="auto"/>
          <w:szCs w:val="21"/>
          <w:highlight w:val="none"/>
        </w:rPr>
        <w:t>.</w:t>
      </w:r>
      <w:bookmarkEnd w:id="266"/>
      <w:r>
        <w:rPr>
          <w:rFonts w:hint="eastAsia" w:ascii="宋体" w:hAnsi="宋体"/>
          <w:color w:val="auto"/>
          <w:szCs w:val="21"/>
          <w:highlight w:val="none"/>
        </w:rPr>
        <w:t>《投标项目负责人基本情况表》</w:t>
      </w:r>
    </w:p>
    <w:p>
      <w:pPr>
        <w:tabs>
          <w:tab w:val="left" w:pos="425"/>
        </w:tabs>
        <w:spacing w:before="120" w:beforeLines="50" w:line="360" w:lineRule="auto"/>
        <w:rPr>
          <w:rFonts w:ascii="宋体" w:hAnsi="宋体"/>
          <w:color w:val="auto"/>
          <w:szCs w:val="21"/>
          <w:highlight w:val="none"/>
        </w:rPr>
      </w:pPr>
      <w:r>
        <w:rPr>
          <w:rFonts w:hint="eastAsia" w:ascii="宋体" w:hAnsi="宋体"/>
          <w:color w:val="auto"/>
          <w:szCs w:val="21"/>
          <w:highlight w:val="none"/>
        </w:rPr>
        <w:t>（通过上海市住房和城乡建设管理委员会网站</w:t>
      </w:r>
      <w:r>
        <w:rPr>
          <w:rFonts w:ascii="宋体" w:hAnsi="宋体"/>
          <w:color w:val="auto"/>
          <w:szCs w:val="21"/>
          <w:highlight w:val="none"/>
        </w:rPr>
        <w:t>zjw.sh.gov.cn</w:t>
      </w:r>
      <w:r>
        <w:rPr>
          <w:rFonts w:hint="eastAsia" w:ascii="宋体" w:hAnsi="宋体"/>
          <w:color w:val="auto"/>
          <w:szCs w:val="21"/>
          <w:highlight w:val="none"/>
        </w:rPr>
        <w:t>查询、打印，加盖单位公章，投标截止时间前7天内打印有效）</w:t>
      </w:r>
    </w:p>
    <w:p>
      <w:pPr>
        <w:widowControl/>
        <w:shd w:val="clear" w:color="auto" w:fill="FFFFFF"/>
        <w:spacing w:line="360" w:lineRule="auto"/>
        <w:ind w:left="-372" w:leftChars="-177" w:right="-372" w:rightChars="-177" w:firstLine="369" w:firstLineChars="176"/>
        <w:jc w:val="left"/>
        <w:rPr>
          <w:rFonts w:ascii="宋体" w:hAnsi="宋体" w:cs="宋体"/>
          <w:color w:val="auto"/>
          <w:szCs w:val="21"/>
          <w:highlight w:val="none"/>
        </w:rPr>
      </w:pPr>
    </w:p>
    <w:p>
      <w:pPr>
        <w:widowControl/>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p>
    <w:p>
      <w:pPr>
        <w:tabs>
          <w:tab w:val="left" w:pos="425"/>
        </w:tabs>
        <w:spacing w:before="120" w:beforeLines="50" w:line="360" w:lineRule="auto"/>
        <w:outlineLvl w:val="3"/>
        <w:rPr>
          <w:rFonts w:ascii="宋体" w:hAnsi="宋体"/>
          <w:color w:val="auto"/>
          <w:szCs w:val="21"/>
          <w:highlight w:val="none"/>
        </w:rPr>
      </w:pPr>
      <w:r>
        <w:rPr>
          <w:rFonts w:hint="eastAsia" w:ascii="宋体" w:hAnsi="宋体"/>
          <w:color w:val="auto"/>
          <w:szCs w:val="21"/>
          <w:highlight w:val="none"/>
        </w:rPr>
        <w:t>9</w:t>
      </w:r>
      <w:r>
        <w:rPr>
          <w:rFonts w:ascii="宋体" w:hAnsi="宋体"/>
          <w:color w:val="auto"/>
          <w:szCs w:val="21"/>
          <w:highlight w:val="none"/>
        </w:rPr>
        <w:t>.</w:t>
      </w:r>
      <w:r>
        <w:rPr>
          <w:rFonts w:hint="eastAsia" w:ascii="宋体" w:hAnsi="宋体"/>
          <w:color w:val="auto"/>
          <w:szCs w:val="21"/>
          <w:highlight w:val="none"/>
        </w:rPr>
        <w:t>联合体协议书（格式）</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联合体各方：</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甲方：_</w:t>
      </w:r>
      <w:r>
        <w:rPr>
          <w:rFonts w:ascii="宋体" w:hAnsi="宋体" w:cs="宋体"/>
          <w:color w:val="auto"/>
          <w:kern w:val="0"/>
          <w:szCs w:val="21"/>
          <w:highlight w:val="none"/>
        </w:rPr>
        <w:t>______________</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法定代表人：_</w:t>
      </w:r>
      <w:r>
        <w:rPr>
          <w:rFonts w:ascii="宋体" w:hAnsi="宋体" w:cs="宋体"/>
          <w:color w:val="auto"/>
          <w:kern w:val="0"/>
          <w:szCs w:val="21"/>
          <w:highlight w:val="none"/>
        </w:rPr>
        <w:t>_________________</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住所：_</w:t>
      </w:r>
      <w:r>
        <w:rPr>
          <w:rFonts w:ascii="宋体" w:hAnsi="宋体" w:cs="宋体"/>
          <w:color w:val="auto"/>
          <w:kern w:val="0"/>
          <w:szCs w:val="21"/>
          <w:highlight w:val="none"/>
        </w:rPr>
        <w:t>______________________</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乙方：_</w:t>
      </w:r>
      <w:r>
        <w:rPr>
          <w:rFonts w:ascii="宋体" w:hAnsi="宋体" w:cs="宋体"/>
          <w:color w:val="auto"/>
          <w:kern w:val="0"/>
          <w:szCs w:val="21"/>
          <w:highlight w:val="none"/>
        </w:rPr>
        <w:t>_________________</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法定代表人：_</w:t>
      </w:r>
      <w:r>
        <w:rPr>
          <w:rFonts w:ascii="宋体" w:hAnsi="宋体" w:cs="宋体"/>
          <w:color w:val="auto"/>
          <w:kern w:val="0"/>
          <w:szCs w:val="21"/>
          <w:highlight w:val="none"/>
        </w:rPr>
        <w:t>_________________</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住所：_</w:t>
      </w:r>
      <w:r>
        <w:rPr>
          <w:rFonts w:ascii="宋体" w:hAnsi="宋体" w:cs="宋体"/>
          <w:color w:val="auto"/>
          <w:kern w:val="0"/>
          <w:szCs w:val="21"/>
          <w:highlight w:val="none"/>
        </w:rPr>
        <w:t>___________________</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根据相关政策法规之规定，甲乙双方经协商一致，就</w:t>
      </w:r>
      <w:r>
        <w:rPr>
          <w:rFonts w:hint="eastAsia" w:ascii="宋体" w:hAnsi="宋体" w:cs="宋体"/>
          <w:color w:val="auto"/>
          <w:kern w:val="0"/>
          <w:szCs w:val="21"/>
          <w:highlight w:val="none"/>
          <w:u w:val="single"/>
        </w:rPr>
        <w:t xml:space="preserve">         （项目名称）</w:t>
      </w:r>
      <w:r>
        <w:rPr>
          <w:rFonts w:hint="eastAsia" w:ascii="宋体" w:hAnsi="宋体" w:cs="宋体"/>
          <w:color w:val="auto"/>
          <w:kern w:val="0"/>
          <w:szCs w:val="21"/>
          <w:highlight w:val="none"/>
        </w:rPr>
        <w:t>进行联合投标，现就各方承担的工作和义务明确如下：</w:t>
      </w:r>
    </w:p>
    <w:p>
      <w:pPr>
        <w:widowControl/>
        <w:spacing w:line="360" w:lineRule="auto"/>
        <w:ind w:left="855" w:hanging="855"/>
        <w:jc w:val="left"/>
        <w:rPr>
          <w:rFonts w:ascii="宋体" w:hAnsi="宋体" w:cs="宋体"/>
          <w:color w:val="auto"/>
          <w:kern w:val="0"/>
          <w:szCs w:val="21"/>
          <w:highlight w:val="none"/>
        </w:rPr>
      </w:pPr>
      <w:r>
        <w:rPr>
          <w:rFonts w:hint="eastAsia" w:ascii="宋体" w:hAnsi="宋体" w:cs="宋体"/>
          <w:color w:val="auto"/>
          <w:kern w:val="0"/>
          <w:szCs w:val="21"/>
          <w:highlight w:val="none"/>
        </w:rPr>
        <w:t>第一条 甲乙双方同意以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为牵头人，以其身份共同参加本项目；</w:t>
      </w:r>
    </w:p>
    <w:p>
      <w:pPr>
        <w:widowControl/>
        <w:spacing w:line="360" w:lineRule="auto"/>
        <w:ind w:left="855" w:hanging="855"/>
        <w:jc w:val="left"/>
        <w:rPr>
          <w:rFonts w:ascii="宋体" w:hAnsi="宋体" w:cs="宋体"/>
          <w:color w:val="auto"/>
          <w:kern w:val="0"/>
          <w:szCs w:val="21"/>
          <w:highlight w:val="none"/>
        </w:rPr>
      </w:pPr>
      <w:r>
        <w:rPr>
          <w:rFonts w:hint="eastAsia" w:ascii="宋体" w:hAnsi="宋体" w:cs="宋体"/>
          <w:color w:val="auto"/>
          <w:kern w:val="0"/>
          <w:szCs w:val="21"/>
          <w:highlight w:val="none"/>
        </w:rPr>
        <w:t>第二条 各自承担的工作范围：</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一、甲方的工作范围包括：</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（一）甲方的合同金额占合同总额的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（二）</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二、乙方的工作范围包括：</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（一）乙方的合同金额占合同总额的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（二）</w:t>
      </w:r>
    </w:p>
    <w:p>
      <w:pPr>
        <w:widowControl/>
        <w:spacing w:line="360" w:lineRule="auto"/>
        <w:ind w:left="855" w:hanging="855"/>
        <w:jc w:val="left"/>
        <w:rPr>
          <w:rFonts w:ascii="宋体" w:hAnsi="宋体" w:cs="宋体"/>
          <w:color w:val="auto"/>
          <w:kern w:val="0"/>
          <w:szCs w:val="21"/>
          <w:highlight w:val="none"/>
        </w:rPr>
      </w:pPr>
      <w:r>
        <w:rPr>
          <w:rFonts w:hint="eastAsia" w:ascii="宋体" w:hAnsi="宋体" w:cs="宋体"/>
          <w:color w:val="auto"/>
          <w:kern w:val="0"/>
          <w:szCs w:val="21"/>
          <w:highlight w:val="none"/>
        </w:rPr>
        <w:t>第三条     各承担的义务：</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一、甲方承担的义务：</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（一）</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（二）</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二、乙方承担的义务：</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（一）</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（二）</w:t>
      </w:r>
    </w:p>
    <w:p>
      <w:pPr>
        <w:widowControl/>
        <w:spacing w:line="360" w:lineRule="auto"/>
        <w:ind w:left="855" w:hanging="855"/>
        <w:jc w:val="left"/>
        <w:rPr>
          <w:rFonts w:ascii="宋体" w:hAnsi="宋体" w:cs="宋体"/>
          <w:color w:val="auto"/>
          <w:kern w:val="0"/>
          <w:szCs w:val="21"/>
          <w:highlight w:val="none"/>
        </w:rPr>
      </w:pPr>
      <w:r>
        <w:rPr>
          <w:rFonts w:hint="eastAsia" w:ascii="宋体" w:hAnsi="宋体" w:cs="宋体"/>
          <w:color w:val="auto"/>
          <w:kern w:val="0"/>
          <w:szCs w:val="21"/>
          <w:highlight w:val="none"/>
        </w:rPr>
        <w:t>第四条 甲乙双方就双方共同承担的工作范围对采购人承担连带责任。</w:t>
      </w:r>
    </w:p>
    <w:p>
      <w:pPr>
        <w:widowControl/>
        <w:spacing w:line="360" w:lineRule="auto"/>
        <w:ind w:left="855" w:hanging="855"/>
        <w:jc w:val="left"/>
        <w:rPr>
          <w:rFonts w:ascii="宋体" w:hAnsi="宋体" w:cs="宋体"/>
          <w:color w:val="auto"/>
          <w:kern w:val="0"/>
          <w:szCs w:val="21"/>
          <w:highlight w:val="none"/>
        </w:rPr>
      </w:pPr>
      <w:r>
        <w:rPr>
          <w:rFonts w:hint="eastAsia" w:ascii="宋体" w:hAnsi="宋体" w:cs="宋体"/>
          <w:color w:val="auto"/>
          <w:kern w:val="0"/>
          <w:szCs w:val="21"/>
          <w:highlight w:val="none"/>
        </w:rPr>
        <w:t>第五条 本协议一式三份，甲乙双方各持一份，一份作为投标文件的组成部分提交上海百通项目管理咨询有限公司。</w:t>
      </w:r>
    </w:p>
    <w:p>
      <w:pPr>
        <w:widowControl/>
        <w:spacing w:line="360" w:lineRule="auto"/>
        <w:jc w:val="left"/>
        <w:rPr>
          <w:rFonts w:ascii="宋体" w:hAnsi="宋体" w:cs="宋体"/>
          <w:color w:val="auto"/>
          <w:kern w:val="0"/>
          <w:szCs w:val="21"/>
          <w:highlight w:val="none"/>
        </w:rPr>
      </w:pP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甲方（盖章）：                乙方（盖章）：</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法定代表人（签字）：             法定代表人（签字）：</w:t>
      </w:r>
    </w:p>
    <w:p>
      <w:pPr>
        <w:widowControl/>
        <w:adjustRightInd w:val="0"/>
        <w:spacing w:line="360" w:lineRule="auto"/>
        <w:ind w:firstLine="420" w:firstLineChars="20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年  月  日               年  月 日</w:t>
      </w:r>
    </w:p>
    <w:p>
      <w:pPr>
        <w:widowControl/>
        <w:jc w:val="left"/>
        <w:rPr>
          <w:rFonts w:asciiTheme="minorEastAsia" w:hAnsiTheme="minorEastAsia" w:eastAsiaTheme="minorEastAsia"/>
          <w:color w:val="auto"/>
          <w:szCs w:val="21"/>
          <w:highlight w:val="none"/>
        </w:rPr>
      </w:pPr>
    </w:p>
    <w:p>
      <w:pPr>
        <w:widowControl/>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p>
    <w:p>
      <w:pPr>
        <w:pStyle w:val="5"/>
        <w:keepNext w:val="0"/>
        <w:keepLines w:val="0"/>
        <w:ind w:left="0"/>
        <w:rPr>
          <w:color w:val="auto"/>
          <w:highlight w:val="none"/>
        </w:rPr>
      </w:pPr>
      <w:r>
        <w:rPr>
          <w:rFonts w:hint="eastAsia"/>
          <w:color w:val="auto"/>
          <w:highlight w:val="none"/>
        </w:rPr>
        <w:t>1</w:t>
      </w:r>
      <w:r>
        <w:rPr>
          <w:color w:val="auto"/>
          <w:highlight w:val="none"/>
        </w:rPr>
        <w:t>0</w:t>
      </w:r>
      <w:r>
        <w:rPr>
          <w:rFonts w:hint="eastAsia" w:ascii="宋体" w:hAnsi="宋体"/>
          <w:color w:val="auto"/>
          <w:szCs w:val="24"/>
          <w:highlight w:val="none"/>
        </w:rPr>
        <w:t>招标代理费支付协议（格式）</w:t>
      </w:r>
    </w:p>
    <w:p>
      <w:pPr>
        <w:adjustRightInd w:val="0"/>
        <w:spacing w:line="360" w:lineRule="auto"/>
        <w:ind w:firstLine="426" w:firstLineChars="202"/>
        <w:jc w:val="center"/>
        <w:textAlignment w:val="baseline"/>
        <w:rPr>
          <w:rFonts w:ascii="宋体" w:hAnsi="宋体"/>
          <w:b/>
          <w:color w:val="auto"/>
          <w:kern w:val="0"/>
          <w:szCs w:val="21"/>
          <w:highlight w:val="none"/>
        </w:rPr>
      </w:pPr>
    </w:p>
    <w:p>
      <w:pPr>
        <w:adjustRightInd w:val="0"/>
        <w:spacing w:line="360" w:lineRule="auto"/>
        <w:textAlignment w:val="baseline"/>
        <w:rPr>
          <w:rFonts w:ascii="宋体" w:hAnsi="宋体"/>
          <w:color w:val="auto"/>
          <w:kern w:val="0"/>
          <w:szCs w:val="21"/>
          <w:highlight w:val="none"/>
        </w:rPr>
      </w:pPr>
    </w:p>
    <w:p>
      <w:pPr>
        <w:adjustRightInd w:val="0"/>
        <w:spacing w:line="360" w:lineRule="auto"/>
        <w:ind w:firstLine="424" w:firstLineChars="202"/>
        <w:textAlignment w:val="baseline"/>
        <w:rPr>
          <w:rFonts w:ascii="宋体" w:hAnsi="宋体"/>
          <w:color w:val="auto"/>
          <w:kern w:val="0"/>
          <w:szCs w:val="21"/>
          <w:highlight w:val="none"/>
        </w:rPr>
      </w:pPr>
      <w:r>
        <w:rPr>
          <w:rFonts w:hint="eastAsia" w:ascii="宋体" w:hAnsi="宋体"/>
          <w:color w:val="auto"/>
          <w:kern w:val="0"/>
          <w:szCs w:val="21"/>
          <w:highlight w:val="none"/>
        </w:rPr>
        <w:t>甲方：</w:t>
      </w:r>
      <w:r>
        <w:rPr>
          <w:rFonts w:hint="eastAsia" w:ascii="宋体" w:hAnsi="宋体"/>
          <w:color w:val="auto"/>
          <w:kern w:val="0"/>
          <w:szCs w:val="21"/>
          <w:highlight w:val="none"/>
          <w:u w:val="single"/>
        </w:rPr>
        <w:t>上海百通项目管理咨询有限公司</w:t>
      </w:r>
    </w:p>
    <w:p>
      <w:pPr>
        <w:adjustRightInd w:val="0"/>
        <w:spacing w:line="360" w:lineRule="auto"/>
        <w:ind w:firstLine="424" w:firstLineChars="202"/>
        <w:textAlignment w:val="baseline"/>
        <w:rPr>
          <w:rFonts w:ascii="宋体" w:hAnsi="宋体"/>
          <w:color w:val="auto"/>
          <w:kern w:val="0"/>
          <w:szCs w:val="21"/>
          <w:highlight w:val="none"/>
        </w:rPr>
      </w:pPr>
      <w:r>
        <w:rPr>
          <w:rFonts w:hint="eastAsia" w:ascii="宋体" w:hAnsi="宋体"/>
          <w:color w:val="auto"/>
          <w:kern w:val="0"/>
          <w:szCs w:val="21"/>
          <w:highlight w:val="none"/>
        </w:rPr>
        <w:t>乙方：____________________________</w:t>
      </w:r>
    </w:p>
    <w:p>
      <w:pPr>
        <w:adjustRightInd w:val="0"/>
        <w:spacing w:line="360" w:lineRule="auto"/>
        <w:ind w:firstLine="424" w:firstLineChars="202"/>
        <w:textAlignment w:val="baseline"/>
        <w:rPr>
          <w:rFonts w:ascii="宋体" w:hAnsi="宋体"/>
          <w:color w:val="auto"/>
          <w:kern w:val="0"/>
          <w:szCs w:val="21"/>
          <w:highlight w:val="none"/>
        </w:rPr>
      </w:pPr>
    </w:p>
    <w:p>
      <w:pPr>
        <w:adjustRightInd w:val="0"/>
        <w:spacing w:line="360" w:lineRule="auto"/>
        <w:ind w:firstLine="424" w:firstLineChars="202"/>
        <w:textAlignment w:val="baseline"/>
        <w:rPr>
          <w:rFonts w:ascii="宋体" w:hAnsi="宋体"/>
          <w:color w:val="auto"/>
          <w:kern w:val="0"/>
          <w:szCs w:val="21"/>
          <w:highlight w:val="none"/>
        </w:rPr>
      </w:pPr>
      <w:r>
        <w:rPr>
          <w:rFonts w:hint="eastAsia" w:ascii="宋体" w:hAnsi="宋体"/>
          <w:color w:val="auto"/>
          <w:kern w:val="0"/>
          <w:szCs w:val="21"/>
          <w:highlight w:val="none"/>
        </w:rPr>
        <w:t>一、本项目招标代理费由乙方支付，共计</w:t>
      </w:r>
      <w:r>
        <w:rPr>
          <w:rFonts w:hint="eastAsia" w:ascii="宋体" w:hAnsi="宋体"/>
          <w:color w:val="auto"/>
          <w:kern w:val="0"/>
          <w:szCs w:val="21"/>
          <w:highlight w:val="none"/>
          <w:u w:val="single"/>
        </w:rPr>
        <w:t>人民币***元整</w:t>
      </w:r>
      <w:r>
        <w:rPr>
          <w:rFonts w:hint="eastAsia" w:ascii="宋体" w:hAnsi="宋体"/>
          <w:color w:val="auto"/>
          <w:kern w:val="0"/>
          <w:szCs w:val="21"/>
          <w:highlight w:val="none"/>
        </w:rPr>
        <w:t>。</w:t>
      </w:r>
    </w:p>
    <w:p>
      <w:pPr>
        <w:adjustRightInd w:val="0"/>
        <w:spacing w:line="360" w:lineRule="auto"/>
        <w:ind w:firstLine="424" w:firstLineChars="202"/>
        <w:textAlignment w:val="baseline"/>
        <w:rPr>
          <w:rFonts w:ascii="宋体" w:hAnsi="宋体"/>
          <w:color w:val="auto"/>
          <w:kern w:val="0"/>
          <w:szCs w:val="21"/>
          <w:highlight w:val="none"/>
        </w:rPr>
      </w:pPr>
    </w:p>
    <w:p>
      <w:pPr>
        <w:adjustRightInd w:val="0"/>
        <w:spacing w:line="360" w:lineRule="auto"/>
        <w:ind w:firstLine="424" w:firstLineChars="202"/>
        <w:textAlignment w:val="baseline"/>
        <w:rPr>
          <w:rFonts w:ascii="宋体" w:hAnsi="宋体"/>
          <w:color w:val="auto"/>
          <w:kern w:val="0"/>
          <w:szCs w:val="21"/>
          <w:highlight w:val="none"/>
        </w:rPr>
      </w:pPr>
      <w:r>
        <w:rPr>
          <w:rFonts w:hint="eastAsia" w:ascii="宋体" w:hAnsi="宋体"/>
          <w:color w:val="auto"/>
          <w:kern w:val="0"/>
          <w:szCs w:val="21"/>
          <w:highlight w:val="none"/>
        </w:rPr>
        <w:t>二、支付方式：收到中标通知书后一周内由乙方一次性付清。</w:t>
      </w:r>
    </w:p>
    <w:p>
      <w:pPr>
        <w:adjustRightInd w:val="0"/>
        <w:spacing w:line="360" w:lineRule="auto"/>
        <w:ind w:firstLine="424" w:firstLineChars="202"/>
        <w:textAlignment w:val="baseline"/>
        <w:rPr>
          <w:rFonts w:ascii="宋体" w:hAnsi="宋体"/>
          <w:color w:val="auto"/>
          <w:kern w:val="0"/>
          <w:szCs w:val="21"/>
          <w:highlight w:val="none"/>
        </w:rPr>
      </w:pPr>
    </w:p>
    <w:p>
      <w:pPr>
        <w:adjustRightInd w:val="0"/>
        <w:spacing w:line="360" w:lineRule="auto"/>
        <w:ind w:firstLine="424" w:firstLineChars="202"/>
        <w:textAlignment w:val="baseline"/>
        <w:rPr>
          <w:rFonts w:ascii="宋体" w:hAnsi="宋体"/>
          <w:color w:val="auto"/>
          <w:kern w:val="0"/>
          <w:szCs w:val="21"/>
          <w:highlight w:val="none"/>
        </w:rPr>
      </w:pPr>
      <w:r>
        <w:rPr>
          <w:rFonts w:hint="eastAsia" w:ascii="宋体" w:hAnsi="宋体"/>
          <w:color w:val="auto"/>
          <w:kern w:val="0"/>
          <w:szCs w:val="21"/>
          <w:highlight w:val="none"/>
        </w:rPr>
        <w:t>三、协议一式二份，双方各执一份。</w:t>
      </w:r>
    </w:p>
    <w:p>
      <w:pPr>
        <w:adjustRightInd w:val="0"/>
        <w:spacing w:line="360" w:lineRule="auto"/>
        <w:ind w:firstLine="424" w:firstLineChars="202"/>
        <w:textAlignment w:val="baseline"/>
        <w:rPr>
          <w:rFonts w:ascii="宋体" w:hAnsi="宋体"/>
          <w:color w:val="auto"/>
          <w:kern w:val="0"/>
          <w:szCs w:val="21"/>
          <w:highlight w:val="none"/>
        </w:rPr>
      </w:pPr>
    </w:p>
    <w:p>
      <w:pPr>
        <w:adjustRightInd w:val="0"/>
        <w:spacing w:line="360" w:lineRule="auto"/>
        <w:ind w:firstLine="424" w:firstLineChars="202"/>
        <w:textAlignment w:val="baseline"/>
        <w:rPr>
          <w:rFonts w:ascii="宋体" w:hAnsi="宋体"/>
          <w:color w:val="auto"/>
          <w:kern w:val="0"/>
          <w:szCs w:val="21"/>
          <w:highlight w:val="none"/>
        </w:rPr>
      </w:pPr>
    </w:p>
    <w:p>
      <w:pPr>
        <w:adjustRightInd w:val="0"/>
        <w:spacing w:line="360" w:lineRule="auto"/>
        <w:ind w:firstLine="424" w:firstLineChars="202"/>
        <w:textAlignment w:val="baseline"/>
        <w:rPr>
          <w:rFonts w:ascii="宋体" w:hAnsi="宋体"/>
          <w:color w:val="auto"/>
          <w:kern w:val="0"/>
          <w:szCs w:val="21"/>
          <w:highlight w:val="none"/>
        </w:rPr>
      </w:pPr>
      <w:r>
        <w:rPr>
          <w:rFonts w:hint="eastAsia" w:ascii="宋体" w:hAnsi="宋体"/>
          <w:color w:val="auto"/>
          <w:kern w:val="0"/>
          <w:szCs w:val="21"/>
          <w:highlight w:val="none"/>
        </w:rPr>
        <w:t>甲方（盖章）：上海百通项目管理       乙方（盖章）：</w:t>
      </w:r>
    </w:p>
    <w:p>
      <w:pPr>
        <w:adjustRightInd w:val="0"/>
        <w:spacing w:line="360" w:lineRule="auto"/>
        <w:ind w:firstLine="424" w:firstLineChars="202"/>
        <w:textAlignment w:val="baseline"/>
        <w:rPr>
          <w:rFonts w:ascii="宋体" w:hAnsi="宋体"/>
          <w:color w:val="auto"/>
          <w:kern w:val="0"/>
          <w:szCs w:val="21"/>
          <w:highlight w:val="none"/>
        </w:rPr>
      </w:pPr>
      <w:r>
        <w:rPr>
          <w:rFonts w:hint="eastAsia" w:ascii="宋体" w:hAnsi="宋体"/>
          <w:color w:val="auto"/>
          <w:kern w:val="0"/>
          <w:szCs w:val="21"/>
          <w:highlight w:val="none"/>
        </w:rPr>
        <w:t xml:space="preserve">咨询有限公司 </w:t>
      </w:r>
    </w:p>
    <w:p>
      <w:pPr>
        <w:adjustRightInd w:val="0"/>
        <w:spacing w:line="360" w:lineRule="auto"/>
        <w:ind w:firstLine="424" w:firstLineChars="202"/>
        <w:textAlignment w:val="baseline"/>
        <w:rPr>
          <w:rFonts w:ascii="宋体" w:hAnsi="宋体"/>
          <w:color w:val="auto"/>
          <w:kern w:val="0"/>
          <w:szCs w:val="21"/>
          <w:highlight w:val="none"/>
        </w:rPr>
      </w:pPr>
      <w:r>
        <w:rPr>
          <w:rFonts w:hint="eastAsia" w:ascii="宋体" w:hAnsi="宋体"/>
          <w:color w:val="auto"/>
          <w:kern w:val="0"/>
          <w:szCs w:val="21"/>
          <w:highlight w:val="none"/>
        </w:rPr>
        <w:t xml:space="preserve">单位地址：浦明路1229弄5楼         单位地址： </w:t>
      </w:r>
    </w:p>
    <w:p>
      <w:pPr>
        <w:adjustRightInd w:val="0"/>
        <w:spacing w:line="360" w:lineRule="auto"/>
        <w:ind w:firstLine="424" w:firstLineChars="202"/>
        <w:textAlignment w:val="baseline"/>
        <w:rPr>
          <w:rFonts w:ascii="宋体" w:hAnsi="宋体"/>
          <w:color w:val="auto"/>
          <w:kern w:val="0"/>
          <w:szCs w:val="21"/>
          <w:highlight w:val="none"/>
        </w:rPr>
      </w:pPr>
      <w:r>
        <w:rPr>
          <w:rFonts w:hint="eastAsia" w:ascii="宋体" w:hAnsi="宋体"/>
          <w:color w:val="auto"/>
          <w:kern w:val="0"/>
          <w:szCs w:val="21"/>
          <w:highlight w:val="none"/>
        </w:rPr>
        <w:t xml:space="preserve">开户银行：上海银行蓝村支行          开户银行： </w:t>
      </w:r>
    </w:p>
    <w:p>
      <w:pPr>
        <w:adjustRightInd w:val="0"/>
        <w:spacing w:line="360" w:lineRule="auto"/>
        <w:ind w:firstLine="424" w:firstLineChars="202"/>
        <w:textAlignment w:val="baseline"/>
        <w:rPr>
          <w:rFonts w:ascii="宋体" w:hAnsi="宋体"/>
          <w:color w:val="auto"/>
          <w:kern w:val="0"/>
          <w:szCs w:val="21"/>
          <w:highlight w:val="none"/>
        </w:rPr>
      </w:pPr>
      <w:r>
        <w:rPr>
          <w:rFonts w:hint="eastAsia" w:ascii="宋体" w:hAnsi="宋体"/>
          <w:color w:val="auto"/>
          <w:kern w:val="0"/>
          <w:szCs w:val="21"/>
          <w:highlight w:val="none"/>
        </w:rPr>
        <w:t>帐    号：316971-00006741975        帐    号：</w:t>
      </w:r>
    </w:p>
    <w:p>
      <w:pPr>
        <w:widowControl/>
        <w:adjustRightInd w:val="0"/>
        <w:spacing w:line="360" w:lineRule="auto"/>
        <w:ind w:firstLine="420" w:firstLineChars="200"/>
        <w:jc w:val="left"/>
        <w:textAlignment w:val="baseline"/>
        <w:rPr>
          <w:rFonts w:ascii="宋体" w:hAnsi="宋体"/>
          <w:color w:val="auto"/>
          <w:kern w:val="0"/>
          <w:highlight w:val="none"/>
        </w:rPr>
      </w:pPr>
    </w:p>
    <w:p>
      <w:pPr>
        <w:widowControl/>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（注：无需编制装订进投标文件中，请单独打印两份，盖章后随纸质投标文件一并递交）</w:t>
      </w:r>
    </w:p>
    <w:p>
      <w:pPr>
        <w:widowControl/>
        <w:jc w:val="left"/>
        <w:rPr>
          <w:rFonts w:asciiTheme="minorEastAsia" w:hAnsiTheme="minorEastAsia" w:eastAsiaTheme="minorEastAsia"/>
          <w:color w:val="auto"/>
          <w:szCs w:val="21"/>
          <w:highlight w:val="none"/>
        </w:rPr>
      </w:pPr>
      <w:bookmarkStart w:id="267" w:name="_Toc449306098"/>
      <w:bookmarkStart w:id="268" w:name="_Toc364679653"/>
      <w:r>
        <w:rPr>
          <w:rFonts w:asciiTheme="minorEastAsia" w:hAnsiTheme="minorEastAsia" w:eastAsiaTheme="minorEastAsia"/>
          <w:color w:val="auto"/>
          <w:szCs w:val="21"/>
          <w:highlight w:val="none"/>
        </w:rPr>
        <w:br w:type="page"/>
      </w:r>
    </w:p>
    <w:p>
      <w:pPr>
        <w:pStyle w:val="5"/>
        <w:keepNext w:val="0"/>
        <w:keepLines w:val="0"/>
        <w:ind w:left="0"/>
        <w:rPr>
          <w:color w:val="auto"/>
          <w:highlight w:val="none"/>
        </w:rPr>
      </w:pPr>
      <w:r>
        <w:rPr>
          <w:color w:val="auto"/>
          <w:highlight w:val="none"/>
        </w:rPr>
        <w:t>11</w:t>
      </w:r>
      <w:r>
        <w:rPr>
          <w:rFonts w:hint="eastAsia"/>
          <w:color w:val="auto"/>
          <w:highlight w:val="none"/>
        </w:rPr>
        <w:t>.</w:t>
      </w:r>
      <w:r>
        <w:rPr>
          <w:rFonts w:hint="eastAsia" w:ascii="宋体" w:hAnsi="宋体"/>
          <w:color w:val="auto"/>
          <w:kern w:val="0"/>
          <w:sz w:val="24"/>
          <w:highlight w:val="none"/>
        </w:rPr>
        <w:t xml:space="preserve"> </w:t>
      </w:r>
      <w:r>
        <w:rPr>
          <w:rFonts w:hint="eastAsia"/>
          <w:color w:val="auto"/>
          <w:highlight w:val="none"/>
        </w:rPr>
        <w:t>投标人书面声明（格式）</w:t>
      </w:r>
    </w:p>
    <w:p>
      <w:pPr>
        <w:widowControl/>
        <w:spacing w:line="312" w:lineRule="auto"/>
        <w:jc w:val="left"/>
        <w:rPr>
          <w:rFonts w:ascii="宋体" w:hAnsi="宋体"/>
          <w:color w:val="auto"/>
          <w:kern w:val="0"/>
          <w:szCs w:val="21"/>
          <w:highlight w:val="none"/>
          <w:lang w:val="zh-CN" w:eastAsia="zh-CN"/>
        </w:rPr>
      </w:pPr>
    </w:p>
    <w:p>
      <w:pPr>
        <w:widowControl/>
        <w:spacing w:line="312" w:lineRule="auto"/>
        <w:jc w:val="left"/>
        <w:rPr>
          <w:rFonts w:ascii="宋体" w:hAnsi="宋体"/>
          <w:color w:val="auto"/>
          <w:kern w:val="0"/>
          <w:szCs w:val="21"/>
          <w:highlight w:val="none"/>
          <w:lang w:val="zh-CN" w:eastAsia="zh-CN"/>
        </w:rPr>
      </w:pPr>
    </w:p>
    <w:p>
      <w:pPr>
        <w:widowControl/>
        <w:spacing w:line="312" w:lineRule="auto"/>
        <w:jc w:val="left"/>
        <w:rPr>
          <w:rFonts w:ascii="宋体" w:hAnsi="宋体"/>
          <w:color w:val="auto"/>
          <w:szCs w:val="21"/>
          <w:highlight w:val="none"/>
          <w:lang w:val="zh-CN" w:eastAsia="zh-CN"/>
        </w:rPr>
      </w:pPr>
      <w:r>
        <w:rPr>
          <w:rFonts w:hint="eastAsia" w:ascii="宋体" w:hAnsi="宋体"/>
          <w:color w:val="auto"/>
          <w:kern w:val="0"/>
          <w:szCs w:val="21"/>
          <w:highlight w:val="none"/>
          <w:lang w:val="zh-CN" w:eastAsia="zh-CN"/>
        </w:rPr>
        <w:t>致</w:t>
      </w:r>
      <w:r>
        <w:rPr>
          <w:rFonts w:hint="eastAsia" w:ascii="宋体" w:hAnsi="宋体"/>
          <w:color w:val="auto"/>
          <w:kern w:val="0"/>
          <w:szCs w:val="21"/>
          <w:highlight w:val="none"/>
          <w:u w:val="single"/>
          <w:lang w:val="zh-CN" w:eastAsia="zh-CN"/>
        </w:rPr>
        <w:t>（</w:t>
      </w:r>
      <w:r>
        <w:rPr>
          <w:rFonts w:hint="eastAsia" w:ascii="宋体" w:hAnsi="宋体"/>
          <w:color w:val="auto"/>
          <w:kern w:val="0"/>
          <w:szCs w:val="21"/>
          <w:highlight w:val="none"/>
          <w:u w:val="single"/>
          <w:lang w:val="zh-CN"/>
        </w:rPr>
        <w:t>采购人</w:t>
      </w:r>
      <w:r>
        <w:rPr>
          <w:rFonts w:hint="eastAsia" w:ascii="宋体" w:hAnsi="宋体"/>
          <w:color w:val="auto"/>
          <w:kern w:val="0"/>
          <w:szCs w:val="21"/>
          <w:highlight w:val="none"/>
          <w:u w:val="single"/>
          <w:lang w:val="zh-CN" w:eastAsia="zh-CN"/>
        </w:rPr>
        <w:t>名称）</w:t>
      </w:r>
      <w:r>
        <w:rPr>
          <w:rFonts w:ascii="宋体" w:hAnsi="宋体"/>
          <w:color w:val="auto"/>
          <w:kern w:val="0"/>
          <w:szCs w:val="21"/>
          <w:highlight w:val="none"/>
          <w:lang w:val="zh-CN" w:eastAsia="zh-CN"/>
        </w:rPr>
        <w:t>：</w:t>
      </w:r>
    </w:p>
    <w:p>
      <w:pPr>
        <w:adjustRightInd w:val="0"/>
        <w:spacing w:line="500" w:lineRule="exact"/>
        <w:ind w:firstLine="420" w:firstLineChars="200"/>
        <w:textAlignment w:val="baseline"/>
        <w:rPr>
          <w:rFonts w:ascii="宋体" w:hAnsi="宋体"/>
          <w:color w:val="auto"/>
          <w:kern w:val="0"/>
          <w:szCs w:val="21"/>
          <w:highlight w:val="none"/>
        </w:rPr>
      </w:pPr>
      <w:r>
        <w:rPr>
          <w:rFonts w:hint="eastAsia" w:ascii="宋体" w:hAnsi="宋体"/>
          <w:color w:val="auto"/>
          <w:kern w:val="0"/>
          <w:szCs w:val="21"/>
          <w:highlight w:val="none"/>
        </w:rPr>
        <w:t>我公司承诺已自查</w:t>
      </w:r>
      <w:r>
        <w:rPr>
          <w:rFonts w:ascii="宋体" w:hAnsi="宋体"/>
          <w:color w:val="auto"/>
          <w:kern w:val="0"/>
          <w:szCs w:val="21"/>
          <w:highlight w:val="none"/>
        </w:rPr>
        <w:t>，</w:t>
      </w:r>
      <w:r>
        <w:rPr>
          <w:rFonts w:hint="eastAsia" w:ascii="宋体" w:hAnsi="宋体"/>
          <w:color w:val="auto"/>
          <w:kern w:val="0"/>
          <w:szCs w:val="21"/>
          <w:highlight w:val="none"/>
        </w:rPr>
        <w:t>在参加本项目政府采购活动中未</w:t>
      </w:r>
      <w:r>
        <w:rPr>
          <w:rFonts w:ascii="宋体" w:hAnsi="宋体"/>
          <w:color w:val="auto"/>
          <w:kern w:val="0"/>
          <w:szCs w:val="21"/>
          <w:highlight w:val="none"/>
        </w:rPr>
        <w:t>违反</w:t>
      </w:r>
      <w:r>
        <w:rPr>
          <w:rFonts w:hint="eastAsia" w:ascii="宋体" w:hAnsi="宋体"/>
          <w:color w:val="auto"/>
          <w:kern w:val="0"/>
          <w:szCs w:val="21"/>
          <w:highlight w:val="none"/>
        </w:rPr>
        <w:t>《中华人民共和国政府采购法实施条例》第十八条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widowControl/>
        <w:spacing w:line="312" w:lineRule="auto"/>
        <w:ind w:firstLine="570"/>
        <w:jc w:val="left"/>
        <w:rPr>
          <w:rFonts w:ascii="宋体" w:hAnsi="宋体"/>
          <w:color w:val="auto"/>
          <w:szCs w:val="21"/>
          <w:highlight w:val="none"/>
          <w:lang w:val="zh-CN" w:eastAsia="zh-CN"/>
        </w:rPr>
      </w:pPr>
    </w:p>
    <w:p>
      <w:pPr>
        <w:adjustRightInd w:val="0"/>
        <w:spacing w:line="500" w:lineRule="exact"/>
        <w:ind w:firstLine="420" w:firstLineChars="200"/>
        <w:textAlignment w:val="baseline"/>
        <w:rPr>
          <w:rFonts w:ascii="宋体" w:hAnsi="宋体"/>
          <w:color w:val="auto"/>
          <w:kern w:val="0"/>
          <w:szCs w:val="21"/>
          <w:highlight w:val="none"/>
        </w:rPr>
      </w:pPr>
      <w:r>
        <w:rPr>
          <w:rFonts w:hint="eastAsia" w:ascii="宋体" w:hAnsi="宋体"/>
          <w:color w:val="auto"/>
          <w:kern w:val="0"/>
          <w:szCs w:val="21"/>
          <w:highlight w:val="none"/>
        </w:rPr>
        <w:t>特此声明。</w:t>
      </w:r>
    </w:p>
    <w:p>
      <w:pPr>
        <w:widowControl/>
        <w:spacing w:line="312" w:lineRule="auto"/>
        <w:jc w:val="left"/>
        <w:rPr>
          <w:rFonts w:ascii="宋体" w:hAnsi="宋体"/>
          <w:color w:val="auto"/>
          <w:szCs w:val="21"/>
          <w:highlight w:val="none"/>
          <w:lang w:val="zh-CN" w:eastAsia="zh-CN"/>
        </w:rPr>
      </w:pPr>
    </w:p>
    <w:p>
      <w:pPr>
        <w:widowControl/>
        <w:spacing w:line="312" w:lineRule="auto"/>
        <w:jc w:val="left"/>
        <w:rPr>
          <w:rFonts w:ascii="宋体" w:hAnsi="宋体"/>
          <w:color w:val="auto"/>
          <w:szCs w:val="21"/>
          <w:highlight w:val="none"/>
          <w:lang w:val="zh-CN" w:eastAsia="zh-CN"/>
        </w:rPr>
      </w:pPr>
    </w:p>
    <w:p>
      <w:pPr>
        <w:widowControl/>
        <w:spacing w:line="312" w:lineRule="auto"/>
        <w:jc w:val="left"/>
        <w:rPr>
          <w:rFonts w:ascii="宋体" w:hAnsi="宋体"/>
          <w:color w:val="auto"/>
          <w:szCs w:val="21"/>
          <w:highlight w:val="none"/>
          <w:lang w:val="zh-CN" w:eastAsia="zh-CN"/>
        </w:rPr>
      </w:pPr>
    </w:p>
    <w:p>
      <w:pPr>
        <w:widowControl/>
        <w:spacing w:line="312" w:lineRule="auto"/>
        <w:jc w:val="left"/>
        <w:rPr>
          <w:rFonts w:ascii="宋体" w:hAnsi="宋体"/>
          <w:color w:val="auto"/>
          <w:szCs w:val="21"/>
          <w:highlight w:val="none"/>
          <w:lang w:val="zh-CN" w:eastAsia="zh-CN"/>
        </w:rPr>
      </w:pPr>
    </w:p>
    <w:p>
      <w:pPr>
        <w:adjustRightInd w:val="0"/>
        <w:spacing w:line="500" w:lineRule="exact"/>
        <w:textAlignment w:val="baseline"/>
        <w:rPr>
          <w:color w:val="auto"/>
          <w:kern w:val="0"/>
          <w:szCs w:val="21"/>
          <w:highlight w:val="none"/>
          <w:u w:val="single"/>
        </w:rPr>
      </w:pPr>
      <w:r>
        <w:rPr>
          <w:rFonts w:hint="eastAsia"/>
          <w:color w:val="auto"/>
          <w:kern w:val="0"/>
          <w:szCs w:val="21"/>
          <w:highlight w:val="none"/>
        </w:rPr>
        <w:t>投标人（公章）：</w:t>
      </w:r>
      <w:r>
        <w:rPr>
          <w:rFonts w:hint="eastAsia"/>
          <w:color w:val="auto"/>
          <w:kern w:val="0"/>
          <w:szCs w:val="21"/>
          <w:highlight w:val="none"/>
          <w:u w:val="single"/>
        </w:rPr>
        <w:t xml:space="preserve">                             </w:t>
      </w:r>
    </w:p>
    <w:p>
      <w:pPr>
        <w:adjustRightInd w:val="0"/>
        <w:spacing w:line="500" w:lineRule="exact"/>
        <w:textAlignment w:val="baseline"/>
        <w:rPr>
          <w:color w:val="auto"/>
          <w:kern w:val="0"/>
          <w:szCs w:val="21"/>
          <w:highlight w:val="none"/>
          <w:u w:val="single"/>
        </w:rPr>
      </w:pPr>
      <w:r>
        <w:rPr>
          <w:rFonts w:hint="eastAsia"/>
          <w:color w:val="auto"/>
          <w:kern w:val="0"/>
          <w:szCs w:val="21"/>
          <w:highlight w:val="none"/>
        </w:rPr>
        <w:t>法定代表人或授权委托人（签字或盖章）：</w:t>
      </w:r>
      <w:r>
        <w:rPr>
          <w:rFonts w:hint="eastAsia"/>
          <w:color w:val="auto"/>
          <w:kern w:val="0"/>
          <w:szCs w:val="21"/>
          <w:highlight w:val="none"/>
          <w:u w:val="single"/>
        </w:rPr>
        <w:t xml:space="preserve">                      </w:t>
      </w:r>
    </w:p>
    <w:p>
      <w:pPr>
        <w:adjustRightInd w:val="0"/>
        <w:spacing w:line="500" w:lineRule="exact"/>
        <w:textAlignment w:val="baseline"/>
        <w:rPr>
          <w:color w:val="auto"/>
          <w:kern w:val="0"/>
          <w:szCs w:val="21"/>
          <w:highlight w:val="none"/>
        </w:rPr>
      </w:pPr>
      <w:r>
        <w:rPr>
          <w:rFonts w:hint="eastAsia"/>
          <w:color w:val="auto"/>
          <w:kern w:val="0"/>
          <w:szCs w:val="21"/>
          <w:highlight w:val="none"/>
        </w:rPr>
        <w:t>日期：</w:t>
      </w:r>
      <w:r>
        <w:rPr>
          <w:color w:val="auto"/>
          <w:kern w:val="0"/>
          <w:szCs w:val="21"/>
          <w:highlight w:val="none"/>
          <w:u w:val="single"/>
        </w:rPr>
        <w:t xml:space="preserve">      </w:t>
      </w:r>
      <w:r>
        <w:rPr>
          <w:rFonts w:hint="eastAsia"/>
          <w:color w:val="auto"/>
          <w:kern w:val="0"/>
          <w:szCs w:val="21"/>
          <w:highlight w:val="none"/>
        </w:rPr>
        <w:t>年</w:t>
      </w:r>
      <w:r>
        <w:rPr>
          <w:color w:val="auto"/>
          <w:kern w:val="0"/>
          <w:szCs w:val="21"/>
          <w:highlight w:val="none"/>
          <w:u w:val="single"/>
        </w:rPr>
        <w:t xml:space="preserve">      </w:t>
      </w:r>
      <w:r>
        <w:rPr>
          <w:rFonts w:hint="eastAsia"/>
          <w:color w:val="auto"/>
          <w:kern w:val="0"/>
          <w:szCs w:val="21"/>
          <w:highlight w:val="none"/>
        </w:rPr>
        <w:t>月</w:t>
      </w:r>
      <w:r>
        <w:rPr>
          <w:color w:val="auto"/>
          <w:kern w:val="0"/>
          <w:szCs w:val="21"/>
          <w:highlight w:val="none"/>
          <w:u w:val="single"/>
        </w:rPr>
        <w:t xml:space="preserve">      </w:t>
      </w:r>
      <w:r>
        <w:rPr>
          <w:rFonts w:hint="eastAsia"/>
          <w:color w:val="auto"/>
          <w:kern w:val="0"/>
          <w:szCs w:val="21"/>
          <w:highlight w:val="none"/>
        </w:rPr>
        <w:t>日</w:t>
      </w:r>
    </w:p>
    <w:p>
      <w:pPr>
        <w:spacing w:line="360" w:lineRule="auto"/>
        <w:ind w:firstLine="420" w:firstLineChars="200"/>
        <w:rPr>
          <w:rFonts w:ascii="宋体" w:hAnsi="宋体" w:cs="仿宋_GB2312"/>
          <w:color w:val="auto"/>
          <w:szCs w:val="21"/>
          <w:highlight w:val="none"/>
        </w:rPr>
      </w:pPr>
    </w:p>
    <w:p>
      <w:pPr>
        <w:spacing w:line="360" w:lineRule="auto"/>
        <w:ind w:firstLine="420" w:firstLineChars="200"/>
        <w:rPr>
          <w:rFonts w:ascii="宋体" w:hAnsi="宋体" w:cs="仿宋_GB2312"/>
          <w:color w:val="auto"/>
          <w:szCs w:val="21"/>
          <w:highlight w:val="none"/>
        </w:rPr>
      </w:pPr>
    </w:p>
    <w:p>
      <w:pPr>
        <w:adjustRightInd w:val="0"/>
        <w:spacing w:line="360" w:lineRule="auto"/>
        <w:textAlignment w:val="baseline"/>
        <w:rPr>
          <w:rFonts w:ascii="宋体" w:hAnsi="宋体"/>
          <w:color w:val="auto"/>
          <w:kern w:val="0"/>
          <w:highlight w:val="none"/>
        </w:rPr>
      </w:pPr>
      <w:r>
        <w:rPr>
          <w:rFonts w:hint="eastAsia"/>
          <w:b/>
          <w:color w:val="auto"/>
          <w:kern w:val="0"/>
          <w:szCs w:val="21"/>
          <w:highlight w:val="none"/>
        </w:rPr>
        <w:t>后附：投标人股东名录及所占股份比例（格式自拟）</w:t>
      </w:r>
    </w:p>
    <w:p>
      <w:pPr>
        <w:widowControl/>
        <w:jc w:val="left"/>
        <w:rPr>
          <w:rFonts w:asciiTheme="minorEastAsia" w:hAnsiTheme="minorEastAsia" w:eastAsiaTheme="minorEastAsia"/>
          <w:color w:val="auto"/>
          <w:szCs w:val="21"/>
          <w:highlight w:val="none"/>
        </w:rPr>
      </w:pPr>
    </w:p>
    <w:p>
      <w:pPr>
        <w:widowControl/>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p>
    <w:p>
      <w:pPr>
        <w:spacing w:line="500" w:lineRule="exact"/>
        <w:outlineLvl w:val="3"/>
        <w:rPr>
          <w:rFonts w:ascii="Cambria" w:hAnsi="Cambria"/>
          <w:bCs/>
          <w:color w:val="auto"/>
          <w:szCs w:val="28"/>
          <w:highlight w:val="none"/>
        </w:rPr>
      </w:pPr>
      <w:r>
        <w:rPr>
          <w:rFonts w:hint="eastAsia" w:ascii="Cambria" w:hAnsi="Cambria" w:cs="宋体"/>
          <w:bCs/>
          <w:color w:val="auto"/>
          <w:szCs w:val="21"/>
          <w:highlight w:val="none"/>
        </w:rPr>
        <w:t>1</w:t>
      </w:r>
      <w:r>
        <w:rPr>
          <w:rFonts w:ascii="Cambria" w:hAnsi="Cambria" w:cs="宋体"/>
          <w:bCs/>
          <w:color w:val="auto"/>
          <w:szCs w:val="21"/>
          <w:highlight w:val="none"/>
        </w:rPr>
        <w:t>2.</w:t>
      </w:r>
      <w:r>
        <w:rPr>
          <w:rFonts w:hint="eastAsia" w:ascii="Cambria" w:hAnsi="Cambria"/>
          <w:bCs/>
          <w:color w:val="auto"/>
          <w:szCs w:val="28"/>
          <w:highlight w:val="none"/>
        </w:rPr>
        <w:t>提供强制采购节能产品承诺书（格式）</w:t>
      </w:r>
    </w:p>
    <w:p>
      <w:pPr>
        <w:adjustRightInd w:val="0"/>
        <w:spacing w:line="360" w:lineRule="auto"/>
        <w:textAlignment w:val="baseline"/>
        <w:rPr>
          <w:color w:val="auto"/>
          <w:kern w:val="0"/>
          <w:sz w:val="24"/>
          <w:szCs w:val="20"/>
          <w:highlight w:val="none"/>
        </w:rPr>
      </w:pPr>
    </w:p>
    <w:p>
      <w:pPr>
        <w:adjustRightInd w:val="0"/>
        <w:spacing w:line="360" w:lineRule="auto"/>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致</w:t>
      </w:r>
      <w:r>
        <w:rPr>
          <w:rFonts w:hint="eastAsia" w:ascii="宋体" w:hAnsi="宋体"/>
          <w:bCs/>
          <w:color w:val="auto"/>
          <w:kern w:val="0"/>
          <w:szCs w:val="21"/>
          <w:highlight w:val="none"/>
          <w:u w:val="single"/>
        </w:rPr>
        <w:t>（采购人名称）</w:t>
      </w:r>
      <w:r>
        <w:rPr>
          <w:rFonts w:hint="eastAsia" w:ascii="宋体" w:hAnsi="宋体"/>
          <w:bCs/>
          <w:color w:val="auto"/>
          <w:kern w:val="0"/>
          <w:szCs w:val="21"/>
          <w:highlight w:val="none"/>
        </w:rPr>
        <w:t>：</w:t>
      </w:r>
    </w:p>
    <w:p>
      <w:pPr>
        <w:adjustRightInd w:val="0"/>
        <w:spacing w:line="360" w:lineRule="auto"/>
        <w:jc w:val="left"/>
        <w:textAlignment w:val="baseline"/>
        <w:rPr>
          <w:color w:val="auto"/>
          <w:kern w:val="0"/>
          <w:szCs w:val="21"/>
          <w:highlight w:val="none"/>
        </w:rPr>
      </w:pPr>
      <w:r>
        <w:rPr>
          <w:rFonts w:hint="eastAsia" w:ascii="宋体" w:hAnsi="宋体"/>
          <w:bCs/>
          <w:color w:val="auto"/>
          <w:kern w:val="0"/>
          <w:szCs w:val="21"/>
          <w:highlight w:val="none"/>
        </w:rPr>
        <w:t xml:space="preserve"> </w:t>
      </w:r>
      <w:r>
        <w:rPr>
          <w:rFonts w:ascii="宋体" w:hAnsi="宋体"/>
          <w:bCs/>
          <w:color w:val="auto"/>
          <w:kern w:val="0"/>
          <w:szCs w:val="21"/>
          <w:highlight w:val="none"/>
        </w:rPr>
        <w:t xml:space="preserve">   </w:t>
      </w:r>
      <w:r>
        <w:rPr>
          <w:rFonts w:hint="eastAsia" w:ascii="宋体" w:hAnsi="宋体"/>
          <w:bCs/>
          <w:color w:val="auto"/>
          <w:kern w:val="0"/>
          <w:szCs w:val="21"/>
          <w:highlight w:val="none"/>
        </w:rPr>
        <w:t>如本项目涉及到节能产品采购，我方承诺所提供的产品若为财政部财库〔2019〕1</w:t>
      </w:r>
      <w:r>
        <w:rPr>
          <w:rFonts w:ascii="宋体" w:hAnsi="宋体"/>
          <w:bCs/>
          <w:color w:val="auto"/>
          <w:kern w:val="0"/>
          <w:szCs w:val="21"/>
          <w:highlight w:val="none"/>
        </w:rPr>
        <w:t>9</w:t>
      </w:r>
      <w:r>
        <w:rPr>
          <w:rFonts w:hint="eastAsia" w:ascii="宋体" w:hAnsi="宋体"/>
          <w:bCs/>
          <w:color w:val="auto"/>
          <w:kern w:val="0"/>
          <w:szCs w:val="21"/>
          <w:highlight w:val="none"/>
        </w:rPr>
        <w:t>号文公布的节能环保产品品目清单中★标出的产品（政府强制采购的节能产品），应具备国家确定的认证机构出具的、处于有效期之内的节能产品认证证书，并承诺如果中标，合同履行时将节能产品认证证书随交付货物一并提交给采购人。</w:t>
      </w:r>
    </w:p>
    <w:p>
      <w:pPr>
        <w:adjustRightInd w:val="0"/>
        <w:spacing w:line="360" w:lineRule="auto"/>
        <w:jc w:val="right"/>
        <w:textAlignment w:val="baseline"/>
        <w:rPr>
          <w:color w:val="auto"/>
          <w:kern w:val="0"/>
          <w:szCs w:val="21"/>
          <w:highlight w:val="none"/>
          <w:u w:val="single"/>
        </w:rPr>
      </w:pPr>
      <w:r>
        <w:rPr>
          <w:rFonts w:hint="eastAsia"/>
          <w:color w:val="auto"/>
          <w:kern w:val="0"/>
          <w:szCs w:val="21"/>
          <w:highlight w:val="none"/>
        </w:rPr>
        <w:t>投标人（公章）：</w:t>
      </w:r>
      <w:r>
        <w:rPr>
          <w:rFonts w:hint="eastAsia"/>
          <w:color w:val="auto"/>
          <w:kern w:val="0"/>
          <w:szCs w:val="21"/>
          <w:highlight w:val="none"/>
          <w:u w:val="single"/>
        </w:rPr>
        <w:t xml:space="preserve"> </w:t>
      </w:r>
    </w:p>
    <w:p>
      <w:pPr>
        <w:adjustRightInd w:val="0"/>
        <w:spacing w:line="360" w:lineRule="auto"/>
        <w:jc w:val="right"/>
        <w:textAlignment w:val="baseline"/>
        <w:rPr>
          <w:color w:val="auto"/>
          <w:kern w:val="0"/>
          <w:szCs w:val="21"/>
          <w:highlight w:val="none"/>
          <w:u w:val="single"/>
        </w:rPr>
      </w:pPr>
      <w:r>
        <w:rPr>
          <w:rFonts w:hint="eastAsia"/>
          <w:color w:val="auto"/>
          <w:kern w:val="0"/>
          <w:szCs w:val="21"/>
          <w:highlight w:val="none"/>
        </w:rPr>
        <w:t>法定代表人或授权委托人（签字或盖章）：</w:t>
      </w:r>
      <w:r>
        <w:rPr>
          <w:rFonts w:hint="eastAsia"/>
          <w:color w:val="auto"/>
          <w:kern w:val="0"/>
          <w:szCs w:val="21"/>
          <w:highlight w:val="none"/>
          <w:u w:val="single"/>
        </w:rPr>
        <w:t xml:space="preserve"> </w:t>
      </w:r>
    </w:p>
    <w:p>
      <w:pPr>
        <w:adjustRightInd w:val="0"/>
        <w:spacing w:line="360" w:lineRule="auto"/>
        <w:jc w:val="right"/>
        <w:textAlignment w:val="baseline"/>
        <w:rPr>
          <w:color w:val="auto"/>
          <w:kern w:val="0"/>
          <w:sz w:val="24"/>
          <w:szCs w:val="20"/>
          <w:highlight w:val="none"/>
        </w:rPr>
      </w:pPr>
      <w:r>
        <w:rPr>
          <w:rFonts w:hint="eastAsia"/>
          <w:color w:val="auto"/>
          <w:kern w:val="0"/>
          <w:sz w:val="24"/>
          <w:szCs w:val="20"/>
          <w:highlight w:val="none"/>
        </w:rPr>
        <w:t>日期：</w:t>
      </w:r>
      <w:r>
        <w:rPr>
          <w:color w:val="auto"/>
          <w:kern w:val="0"/>
          <w:sz w:val="24"/>
          <w:szCs w:val="20"/>
          <w:highlight w:val="none"/>
        </w:rPr>
        <w:t xml:space="preserve">      </w:t>
      </w:r>
      <w:r>
        <w:rPr>
          <w:rFonts w:hint="eastAsia"/>
          <w:color w:val="auto"/>
          <w:kern w:val="0"/>
          <w:sz w:val="24"/>
          <w:szCs w:val="20"/>
          <w:highlight w:val="none"/>
        </w:rPr>
        <w:t>年</w:t>
      </w:r>
      <w:r>
        <w:rPr>
          <w:color w:val="auto"/>
          <w:kern w:val="0"/>
          <w:sz w:val="24"/>
          <w:szCs w:val="20"/>
          <w:highlight w:val="none"/>
        </w:rPr>
        <w:t xml:space="preserve">      </w:t>
      </w:r>
      <w:r>
        <w:rPr>
          <w:rFonts w:hint="eastAsia"/>
          <w:color w:val="auto"/>
          <w:kern w:val="0"/>
          <w:sz w:val="24"/>
          <w:szCs w:val="20"/>
          <w:highlight w:val="none"/>
        </w:rPr>
        <w:t>月</w:t>
      </w:r>
      <w:r>
        <w:rPr>
          <w:color w:val="auto"/>
          <w:kern w:val="0"/>
          <w:sz w:val="24"/>
          <w:szCs w:val="20"/>
          <w:highlight w:val="none"/>
        </w:rPr>
        <w:t xml:space="preserve">      </w:t>
      </w:r>
      <w:r>
        <w:rPr>
          <w:rFonts w:hint="eastAsia"/>
          <w:color w:val="auto"/>
          <w:kern w:val="0"/>
          <w:sz w:val="24"/>
          <w:szCs w:val="20"/>
          <w:highlight w:val="none"/>
        </w:rPr>
        <w:t>日</w:t>
      </w:r>
    </w:p>
    <w:p>
      <w:pPr>
        <w:adjustRightInd w:val="0"/>
        <w:spacing w:line="360" w:lineRule="auto"/>
        <w:jc w:val="right"/>
        <w:textAlignment w:val="baseline"/>
        <w:rPr>
          <w:color w:val="auto"/>
          <w:kern w:val="0"/>
          <w:sz w:val="24"/>
          <w:szCs w:val="20"/>
          <w:highlight w:val="none"/>
        </w:rPr>
      </w:pPr>
    </w:p>
    <w:p>
      <w:pPr>
        <w:adjustRightInd w:val="0"/>
        <w:spacing w:line="360" w:lineRule="auto"/>
        <w:jc w:val="right"/>
        <w:textAlignment w:val="baseline"/>
        <w:rPr>
          <w:rFonts w:cs="宋体"/>
          <w:b/>
          <w:color w:val="auto"/>
          <w:kern w:val="0"/>
          <w:sz w:val="24"/>
          <w:szCs w:val="20"/>
          <w:highlight w:val="none"/>
        </w:rPr>
      </w:pPr>
    </w:p>
    <w:p>
      <w:pPr>
        <w:adjustRightInd w:val="0"/>
        <w:spacing w:line="360" w:lineRule="auto"/>
        <w:textAlignment w:val="baseline"/>
        <w:rPr>
          <w:color w:val="auto"/>
          <w:kern w:val="0"/>
          <w:sz w:val="24"/>
          <w:szCs w:val="20"/>
          <w:highlight w:val="none"/>
        </w:rPr>
      </w:pPr>
    </w:p>
    <w:p>
      <w:pPr>
        <w:spacing w:line="500" w:lineRule="exact"/>
        <w:outlineLvl w:val="3"/>
        <w:rPr>
          <w:rFonts w:ascii="Cambria" w:hAnsi="Cambria"/>
          <w:bCs/>
          <w:color w:val="auto"/>
          <w:szCs w:val="28"/>
          <w:highlight w:val="none"/>
        </w:rPr>
      </w:pPr>
      <w:r>
        <w:rPr>
          <w:rFonts w:hint="eastAsia" w:ascii="Cambria" w:hAnsi="Cambria" w:cs="宋体"/>
          <w:bCs/>
          <w:color w:val="auto"/>
          <w:szCs w:val="21"/>
          <w:highlight w:val="none"/>
        </w:rPr>
        <w:t>1</w:t>
      </w:r>
      <w:r>
        <w:rPr>
          <w:rFonts w:ascii="Cambria" w:hAnsi="Cambria" w:cs="宋体"/>
          <w:bCs/>
          <w:color w:val="auto"/>
          <w:szCs w:val="21"/>
          <w:highlight w:val="none"/>
        </w:rPr>
        <w:t>3.</w:t>
      </w:r>
      <w:r>
        <w:rPr>
          <w:rFonts w:hint="eastAsia" w:ascii="Cambria" w:hAnsi="Cambria"/>
          <w:bCs/>
          <w:color w:val="auto"/>
          <w:szCs w:val="28"/>
          <w:highlight w:val="none"/>
        </w:rPr>
        <w:t>提供强制认证产品承诺书（格式）</w:t>
      </w:r>
    </w:p>
    <w:p>
      <w:pPr>
        <w:adjustRightInd w:val="0"/>
        <w:spacing w:line="360" w:lineRule="auto"/>
        <w:textAlignment w:val="baseline"/>
        <w:rPr>
          <w:color w:val="auto"/>
          <w:kern w:val="0"/>
          <w:sz w:val="24"/>
          <w:szCs w:val="20"/>
          <w:highlight w:val="none"/>
        </w:rPr>
      </w:pPr>
    </w:p>
    <w:p>
      <w:pPr>
        <w:adjustRightInd w:val="0"/>
        <w:spacing w:line="360" w:lineRule="auto"/>
        <w:jc w:val="left"/>
        <w:textAlignment w:val="baseline"/>
        <w:rPr>
          <w:rFonts w:ascii="宋体" w:hAnsi="宋体"/>
          <w:bCs/>
          <w:color w:val="auto"/>
          <w:kern w:val="0"/>
          <w:szCs w:val="21"/>
          <w:highlight w:val="none"/>
        </w:rPr>
      </w:pPr>
      <w:r>
        <w:rPr>
          <w:rFonts w:hint="eastAsia" w:ascii="宋体" w:hAnsi="宋体"/>
          <w:bCs/>
          <w:color w:val="auto"/>
          <w:kern w:val="0"/>
          <w:szCs w:val="21"/>
          <w:highlight w:val="none"/>
        </w:rPr>
        <w:t>致</w:t>
      </w:r>
      <w:r>
        <w:rPr>
          <w:rFonts w:hint="eastAsia" w:ascii="宋体" w:hAnsi="宋体"/>
          <w:bCs/>
          <w:color w:val="auto"/>
          <w:kern w:val="0"/>
          <w:szCs w:val="21"/>
          <w:highlight w:val="none"/>
          <w:u w:val="single"/>
        </w:rPr>
        <w:t>（采购人名称）</w:t>
      </w:r>
      <w:r>
        <w:rPr>
          <w:rFonts w:hint="eastAsia" w:ascii="宋体" w:hAnsi="宋体"/>
          <w:bCs/>
          <w:color w:val="auto"/>
          <w:kern w:val="0"/>
          <w:szCs w:val="21"/>
          <w:highlight w:val="none"/>
        </w:rPr>
        <w:t>：</w:t>
      </w:r>
    </w:p>
    <w:p>
      <w:pPr>
        <w:adjustRightInd w:val="0"/>
        <w:spacing w:line="360" w:lineRule="auto"/>
        <w:jc w:val="left"/>
        <w:textAlignment w:val="baseline"/>
        <w:rPr>
          <w:color w:val="auto"/>
          <w:kern w:val="0"/>
          <w:szCs w:val="21"/>
          <w:highlight w:val="none"/>
        </w:rPr>
      </w:pPr>
      <w:r>
        <w:rPr>
          <w:rFonts w:hint="eastAsia" w:ascii="宋体" w:hAnsi="宋体"/>
          <w:bCs/>
          <w:color w:val="auto"/>
          <w:kern w:val="0"/>
          <w:szCs w:val="21"/>
          <w:highlight w:val="none"/>
        </w:rPr>
        <w:t xml:space="preserve"> </w:t>
      </w:r>
      <w:r>
        <w:rPr>
          <w:rFonts w:ascii="宋体" w:hAnsi="宋体"/>
          <w:bCs/>
          <w:color w:val="auto"/>
          <w:kern w:val="0"/>
          <w:szCs w:val="21"/>
          <w:highlight w:val="none"/>
        </w:rPr>
        <w:t xml:space="preserve">   </w:t>
      </w:r>
      <w:r>
        <w:rPr>
          <w:rFonts w:hint="eastAsia" w:ascii="宋体" w:hAnsi="宋体"/>
          <w:bCs/>
          <w:color w:val="auto"/>
          <w:kern w:val="0"/>
          <w:szCs w:val="21"/>
          <w:highlight w:val="none"/>
        </w:rPr>
        <w:t>如本项目涉及到强制认证产品采购，我方承诺所提供的产品若为被列入强制认证产品目录中的产品，应具备强制认证产品证书，并承诺如果中标，合同履行时将强制认证证书随交付货物一并提交给采购人。</w:t>
      </w:r>
    </w:p>
    <w:p>
      <w:pPr>
        <w:adjustRightInd w:val="0"/>
        <w:spacing w:line="360" w:lineRule="auto"/>
        <w:jc w:val="right"/>
        <w:textAlignment w:val="baseline"/>
        <w:rPr>
          <w:color w:val="auto"/>
          <w:kern w:val="0"/>
          <w:szCs w:val="21"/>
          <w:highlight w:val="none"/>
          <w:u w:val="single"/>
        </w:rPr>
      </w:pPr>
      <w:r>
        <w:rPr>
          <w:rFonts w:hint="eastAsia"/>
          <w:color w:val="auto"/>
          <w:kern w:val="0"/>
          <w:szCs w:val="21"/>
          <w:highlight w:val="none"/>
        </w:rPr>
        <w:t>投标人（公章）：</w:t>
      </w:r>
      <w:r>
        <w:rPr>
          <w:rFonts w:hint="eastAsia"/>
          <w:color w:val="auto"/>
          <w:kern w:val="0"/>
          <w:szCs w:val="21"/>
          <w:highlight w:val="none"/>
          <w:u w:val="single"/>
        </w:rPr>
        <w:t xml:space="preserve"> </w:t>
      </w:r>
    </w:p>
    <w:p>
      <w:pPr>
        <w:adjustRightInd w:val="0"/>
        <w:spacing w:line="360" w:lineRule="auto"/>
        <w:jc w:val="right"/>
        <w:textAlignment w:val="baseline"/>
        <w:rPr>
          <w:color w:val="auto"/>
          <w:kern w:val="0"/>
          <w:szCs w:val="21"/>
          <w:highlight w:val="none"/>
          <w:u w:val="single"/>
        </w:rPr>
      </w:pPr>
      <w:r>
        <w:rPr>
          <w:rFonts w:hint="eastAsia"/>
          <w:color w:val="auto"/>
          <w:kern w:val="0"/>
          <w:szCs w:val="21"/>
          <w:highlight w:val="none"/>
        </w:rPr>
        <w:t>法定代表人或授权委托人（签字或盖章）：</w:t>
      </w:r>
      <w:r>
        <w:rPr>
          <w:rFonts w:hint="eastAsia"/>
          <w:color w:val="auto"/>
          <w:kern w:val="0"/>
          <w:szCs w:val="21"/>
          <w:highlight w:val="none"/>
          <w:u w:val="single"/>
        </w:rPr>
        <w:t xml:space="preserve"> </w:t>
      </w:r>
    </w:p>
    <w:p>
      <w:pPr>
        <w:widowControl/>
        <w:shd w:val="clear" w:color="auto" w:fill="FFFFFF"/>
        <w:spacing w:line="360" w:lineRule="auto"/>
        <w:ind w:left="420"/>
        <w:jc w:val="right"/>
        <w:textAlignment w:val="baseline"/>
        <w:rPr>
          <w:rFonts w:ascii="宋体" w:hAnsi="宋体" w:cs="宋体"/>
          <w:b/>
          <w:color w:val="auto"/>
          <w:kern w:val="0"/>
          <w:szCs w:val="21"/>
          <w:highlight w:val="none"/>
        </w:rPr>
      </w:pPr>
      <w:r>
        <w:rPr>
          <w:rFonts w:hint="eastAsia"/>
          <w:color w:val="auto"/>
          <w:kern w:val="0"/>
          <w:szCs w:val="21"/>
          <w:highlight w:val="none"/>
        </w:rPr>
        <w:t>日期：</w:t>
      </w:r>
      <w:r>
        <w:rPr>
          <w:color w:val="auto"/>
          <w:kern w:val="0"/>
          <w:szCs w:val="21"/>
          <w:highlight w:val="none"/>
          <w:u w:val="single"/>
        </w:rPr>
        <w:t xml:space="preserve">      </w:t>
      </w:r>
      <w:r>
        <w:rPr>
          <w:rFonts w:hint="eastAsia"/>
          <w:color w:val="auto"/>
          <w:kern w:val="0"/>
          <w:szCs w:val="21"/>
          <w:highlight w:val="none"/>
        </w:rPr>
        <w:t>年</w:t>
      </w:r>
      <w:r>
        <w:rPr>
          <w:color w:val="auto"/>
          <w:kern w:val="0"/>
          <w:szCs w:val="21"/>
          <w:highlight w:val="none"/>
          <w:u w:val="single"/>
        </w:rPr>
        <w:t xml:space="preserve">      </w:t>
      </w:r>
      <w:r>
        <w:rPr>
          <w:rFonts w:hint="eastAsia"/>
          <w:color w:val="auto"/>
          <w:kern w:val="0"/>
          <w:szCs w:val="21"/>
          <w:highlight w:val="none"/>
        </w:rPr>
        <w:t>月</w:t>
      </w:r>
      <w:r>
        <w:rPr>
          <w:color w:val="auto"/>
          <w:kern w:val="0"/>
          <w:szCs w:val="21"/>
          <w:highlight w:val="none"/>
          <w:u w:val="single"/>
        </w:rPr>
        <w:t xml:space="preserve">      </w:t>
      </w:r>
      <w:r>
        <w:rPr>
          <w:rFonts w:hint="eastAsia"/>
          <w:color w:val="auto"/>
          <w:kern w:val="0"/>
          <w:szCs w:val="21"/>
          <w:highlight w:val="none"/>
        </w:rPr>
        <w:t>日</w:t>
      </w:r>
    </w:p>
    <w:p>
      <w:pPr>
        <w:rPr>
          <w:b/>
          <w:bCs/>
          <w:color w:val="auto"/>
          <w:highlight w:val="none"/>
        </w:rPr>
      </w:pPr>
    </w:p>
    <w:p>
      <w:pPr>
        <w:widowControl/>
        <w:jc w:val="left"/>
        <w:rPr>
          <w:rFonts w:asciiTheme="minorEastAsia" w:hAnsiTheme="minorEastAsia" w:eastAsiaTheme="minorEastAsia"/>
          <w:color w:val="auto"/>
          <w:szCs w:val="21"/>
          <w:highlight w:val="none"/>
        </w:rPr>
      </w:pPr>
    </w:p>
    <w:p>
      <w:pPr>
        <w:widowControl/>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p>
    <w:p>
      <w:pPr>
        <w:pStyle w:val="4"/>
        <w:rPr>
          <w:color w:val="auto"/>
          <w:highlight w:val="none"/>
        </w:rPr>
      </w:pPr>
      <w:r>
        <w:rPr>
          <w:rFonts w:hint="eastAsia"/>
          <w:color w:val="auto"/>
          <w:highlight w:val="none"/>
        </w:rPr>
        <w:t>（六）其他</w:t>
      </w:r>
    </w:p>
    <w:p>
      <w:pPr>
        <w:rPr>
          <w:color w:val="auto"/>
          <w:highlight w:val="none"/>
        </w:rPr>
      </w:pPr>
      <w:r>
        <w:rPr>
          <w:rFonts w:hint="eastAsia"/>
          <w:color w:val="auto"/>
          <w:highlight w:val="none"/>
        </w:rPr>
        <w:t>投标人认为需要补充的其他内容，由投标人按实际情况提供或补充。</w:t>
      </w:r>
    </w:p>
    <w:p>
      <w:pPr>
        <w:widowControl/>
        <w:jc w:val="left"/>
        <w:rPr>
          <w:rFonts w:ascii="Arial" w:hAnsi="Arial" w:eastAsia="黑体"/>
          <w:b/>
          <w:bCs/>
          <w:color w:val="auto"/>
          <w:sz w:val="32"/>
          <w:szCs w:val="32"/>
          <w:highlight w:val="none"/>
        </w:rPr>
      </w:pPr>
      <w:r>
        <w:rPr>
          <w:color w:val="auto"/>
          <w:highlight w:val="none"/>
        </w:rPr>
        <w:br w:type="page"/>
      </w:r>
    </w:p>
    <w:p>
      <w:pPr>
        <w:pStyle w:val="3"/>
        <w:keepNext w:val="0"/>
        <w:keepLines w:val="0"/>
        <w:spacing w:line="415"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二、技术标：</w:t>
      </w:r>
      <w:bookmarkEnd w:id="267"/>
      <w:bookmarkEnd w:id="268"/>
    </w:p>
    <w:p>
      <w:pPr>
        <w:pStyle w:val="4"/>
        <w:rPr>
          <w:color w:val="auto"/>
          <w:highlight w:val="none"/>
        </w:rPr>
      </w:pPr>
      <w:bookmarkStart w:id="269" w:name="_Toc364682252"/>
      <w:bookmarkStart w:id="270" w:name="_Toc440870138"/>
      <w:bookmarkStart w:id="271" w:name="_Toc449306099"/>
      <w:bookmarkStart w:id="272" w:name="_Toc364679654"/>
      <w:r>
        <w:rPr>
          <w:rFonts w:hint="eastAsia"/>
          <w:color w:val="auto"/>
          <w:highlight w:val="none"/>
        </w:rPr>
        <w:t>（一）施工组织设计</w:t>
      </w:r>
      <w:bookmarkEnd w:id="269"/>
      <w:bookmarkEnd w:id="270"/>
      <w:bookmarkEnd w:id="271"/>
      <w:bookmarkEnd w:id="272"/>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1．投标人应根据招标文件和对现场的勘察情况，采用文字并结合图表形式，参考以下要点编制本工程的施工组织设计：</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（1）施工方案及技术措施；</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（2）质量保证措施和创优计划；</w:t>
      </w:r>
    </w:p>
    <w:p>
      <w:pPr>
        <w:spacing w:line="360" w:lineRule="auto"/>
        <w:ind w:left="945" w:leftChars="200" w:hanging="525" w:hangingChars="2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（3）施工总进度计划及保证措施（包括以横道图或标明关键线路的网络进度计划、保障进度计划需要的主要施工机械设备、劳动力需求计划及保证措施、材料设备进场计划及其他保证措施等）；</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（4）施工安全措施计划；</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（5）文明施工措施计划；</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（6）施工场地治安保卫管理计划；</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（7）施工环保措施计划；</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（8）特殊气候条件下（高温、冬季、雨季、台风等根据工程实际工期确定）施工方案；</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施工现场总平面布置（投标人应提交一份施工总平面图，绘出现场临时设施布置图表并附文字说明，说明临时设施、加工车间、现场办公、设备及仓储、供电、供水、卫生、生活、道路、消防等设施的情况和布置）；</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0）项目组织管理机构；</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（11）成品保护和工程保修工作的管理措施和承诺；</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（12）任何可能的紧急情况的处理措施、预案以及抵抗风险（包括工程施工过程中可能遇到的各种风险）的措施；</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（13）与发包人、项目管理单位、监理（包括投资监理）及设计人的配合；</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（14）招标文件规定的其他内容。</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2．施工组织设计除采用文字表述外可附下列图表，图表及格式要求附后。</w:t>
      </w:r>
      <w:r>
        <w:rPr>
          <w:rFonts w:asciiTheme="minorEastAsia" w:hAnsiTheme="minorEastAsia" w:eastAsiaTheme="minorEastAsia"/>
          <w:color w:val="auto"/>
          <w:szCs w:val="21"/>
          <w:highlight w:val="none"/>
        </w:rPr>
        <w:br w:type="page"/>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附表一：拟投入本工程的主要施工设备表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附表二：拟配备本工程的试验和检测仪器设备表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附表三：劳动力计划表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附表四：计划开、竣工日期和施工进度网络图</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附表五：施工总平面图</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附表六：临时用地表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附表七：拟分包项目一览表</w:t>
      </w:r>
    </w:p>
    <w:p>
      <w:pPr>
        <w:spacing w:before="120" w:beforeLines="50" w:after="240" w:afterLines="100" w:line="360" w:lineRule="auto"/>
        <w:outlineLvl w:val="3"/>
        <w:rPr>
          <w:rFonts w:ascii="宋体" w:hAnsi="宋体"/>
          <w:color w:val="auto"/>
          <w:szCs w:val="21"/>
          <w:highlight w:val="none"/>
        </w:rPr>
      </w:pPr>
      <w:r>
        <w:rPr>
          <w:rFonts w:asciiTheme="minorEastAsia" w:hAnsiTheme="minorEastAsia" w:eastAsiaTheme="minorEastAsia"/>
          <w:color w:val="auto"/>
          <w:szCs w:val="21"/>
          <w:highlight w:val="none"/>
        </w:rPr>
        <w:br w:type="page"/>
      </w:r>
      <w:r>
        <w:rPr>
          <w:rFonts w:hint="eastAsia" w:ascii="宋体" w:hAnsi="宋体"/>
          <w:color w:val="auto"/>
          <w:szCs w:val="21"/>
          <w:highlight w:val="none"/>
        </w:rPr>
        <w:t>附表一：拟投入本工程的主要施工设备表</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058"/>
        <w:gridCol w:w="668"/>
        <w:gridCol w:w="1017"/>
        <w:gridCol w:w="705"/>
        <w:gridCol w:w="705"/>
        <w:gridCol w:w="1170"/>
        <w:gridCol w:w="867"/>
        <w:gridCol w:w="867"/>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4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058"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设备名称</w:t>
            </w:r>
          </w:p>
        </w:tc>
        <w:tc>
          <w:tcPr>
            <w:tcW w:w="668"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型号</w:t>
            </w:r>
          </w:p>
          <w:p>
            <w:pPr>
              <w:spacing w:line="360" w:lineRule="auto"/>
              <w:jc w:val="center"/>
              <w:rPr>
                <w:rFonts w:ascii="宋体" w:hAnsi="宋体"/>
                <w:color w:val="auto"/>
                <w:szCs w:val="21"/>
                <w:highlight w:val="none"/>
              </w:rPr>
            </w:pPr>
            <w:r>
              <w:rPr>
                <w:rFonts w:hint="eastAsia" w:ascii="宋体" w:hAnsi="宋体"/>
                <w:color w:val="auto"/>
                <w:szCs w:val="21"/>
                <w:highlight w:val="none"/>
              </w:rPr>
              <w:t>规格</w:t>
            </w:r>
          </w:p>
        </w:tc>
        <w:tc>
          <w:tcPr>
            <w:tcW w:w="101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数  量</w:t>
            </w:r>
          </w:p>
        </w:tc>
        <w:tc>
          <w:tcPr>
            <w:tcW w:w="70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国别</w:t>
            </w:r>
          </w:p>
          <w:p>
            <w:pPr>
              <w:spacing w:line="360" w:lineRule="auto"/>
              <w:jc w:val="center"/>
              <w:rPr>
                <w:rFonts w:ascii="宋体" w:hAnsi="宋体"/>
                <w:color w:val="auto"/>
                <w:szCs w:val="21"/>
                <w:highlight w:val="none"/>
              </w:rPr>
            </w:pPr>
            <w:r>
              <w:rPr>
                <w:rFonts w:hint="eastAsia" w:ascii="宋体" w:hAnsi="宋体"/>
                <w:color w:val="auto"/>
                <w:szCs w:val="21"/>
                <w:highlight w:val="none"/>
              </w:rPr>
              <w:t>产地</w:t>
            </w:r>
          </w:p>
        </w:tc>
        <w:tc>
          <w:tcPr>
            <w:tcW w:w="70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制造</w:t>
            </w:r>
          </w:p>
          <w:p>
            <w:pPr>
              <w:spacing w:line="360" w:lineRule="auto"/>
              <w:jc w:val="center"/>
              <w:rPr>
                <w:rFonts w:ascii="宋体" w:hAnsi="宋体"/>
                <w:color w:val="auto"/>
                <w:szCs w:val="21"/>
                <w:highlight w:val="none"/>
              </w:rPr>
            </w:pPr>
            <w:r>
              <w:rPr>
                <w:rFonts w:hint="eastAsia" w:ascii="宋体" w:hAnsi="宋体"/>
                <w:color w:val="auto"/>
                <w:szCs w:val="21"/>
                <w:highlight w:val="none"/>
              </w:rPr>
              <w:t>年份</w:t>
            </w:r>
          </w:p>
        </w:tc>
        <w:tc>
          <w:tcPr>
            <w:tcW w:w="117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额定功率</w:t>
            </w:r>
          </w:p>
          <w:p>
            <w:pPr>
              <w:spacing w:line="360" w:lineRule="auto"/>
              <w:jc w:val="center"/>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k</w:t>
            </w:r>
            <w:r>
              <w:rPr>
                <w:rFonts w:hint="eastAsia" w:ascii="宋体" w:hAnsi="宋体"/>
                <w:color w:val="auto"/>
                <w:szCs w:val="21"/>
                <w:highlight w:val="none"/>
              </w:rPr>
              <w:t>W）</w:t>
            </w:r>
          </w:p>
        </w:tc>
        <w:tc>
          <w:tcPr>
            <w:tcW w:w="86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生产</w:t>
            </w:r>
          </w:p>
          <w:p>
            <w:pPr>
              <w:spacing w:line="360" w:lineRule="auto"/>
              <w:jc w:val="center"/>
              <w:rPr>
                <w:rFonts w:ascii="宋体" w:hAnsi="宋体"/>
                <w:color w:val="auto"/>
                <w:szCs w:val="21"/>
                <w:highlight w:val="none"/>
              </w:rPr>
            </w:pPr>
            <w:r>
              <w:rPr>
                <w:rFonts w:hint="eastAsia" w:ascii="宋体" w:hAnsi="宋体"/>
                <w:color w:val="auto"/>
                <w:szCs w:val="21"/>
                <w:highlight w:val="none"/>
              </w:rPr>
              <w:t>能力</w:t>
            </w:r>
          </w:p>
        </w:tc>
        <w:tc>
          <w:tcPr>
            <w:tcW w:w="86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用于施</w:t>
            </w:r>
          </w:p>
          <w:p>
            <w:pPr>
              <w:spacing w:line="360" w:lineRule="auto"/>
              <w:jc w:val="center"/>
              <w:rPr>
                <w:rFonts w:ascii="宋体" w:hAnsi="宋体"/>
                <w:color w:val="auto"/>
                <w:szCs w:val="21"/>
                <w:highlight w:val="none"/>
              </w:rPr>
            </w:pPr>
            <w:r>
              <w:rPr>
                <w:rFonts w:hint="eastAsia" w:ascii="宋体" w:hAnsi="宋体"/>
                <w:color w:val="auto"/>
                <w:szCs w:val="21"/>
                <w:highlight w:val="none"/>
              </w:rPr>
              <w:t>工部位</w:t>
            </w:r>
          </w:p>
        </w:tc>
        <w:tc>
          <w:tcPr>
            <w:tcW w:w="76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41" w:type="dxa"/>
            <w:vAlign w:val="center"/>
          </w:tcPr>
          <w:p>
            <w:pPr>
              <w:spacing w:line="360" w:lineRule="auto"/>
              <w:jc w:val="center"/>
              <w:rPr>
                <w:rFonts w:ascii="宋体" w:hAnsi="宋体"/>
                <w:color w:val="auto"/>
                <w:szCs w:val="21"/>
                <w:highlight w:val="none"/>
              </w:rPr>
            </w:pPr>
          </w:p>
        </w:tc>
        <w:tc>
          <w:tcPr>
            <w:tcW w:w="1058" w:type="dxa"/>
            <w:vAlign w:val="center"/>
          </w:tcPr>
          <w:p>
            <w:pPr>
              <w:spacing w:line="360" w:lineRule="auto"/>
              <w:jc w:val="center"/>
              <w:rPr>
                <w:rFonts w:ascii="宋体" w:hAnsi="宋体"/>
                <w:color w:val="auto"/>
                <w:szCs w:val="21"/>
                <w:highlight w:val="none"/>
              </w:rPr>
            </w:pPr>
          </w:p>
        </w:tc>
        <w:tc>
          <w:tcPr>
            <w:tcW w:w="668" w:type="dxa"/>
            <w:vAlign w:val="center"/>
          </w:tcPr>
          <w:p>
            <w:pPr>
              <w:spacing w:line="360" w:lineRule="auto"/>
              <w:jc w:val="center"/>
              <w:rPr>
                <w:rFonts w:ascii="宋体" w:hAnsi="宋体"/>
                <w:color w:val="auto"/>
                <w:szCs w:val="21"/>
                <w:highlight w:val="none"/>
              </w:rPr>
            </w:pPr>
          </w:p>
        </w:tc>
        <w:tc>
          <w:tcPr>
            <w:tcW w:w="1017" w:type="dxa"/>
            <w:vAlign w:val="center"/>
          </w:tcPr>
          <w:p>
            <w:pPr>
              <w:spacing w:line="360" w:lineRule="auto"/>
              <w:jc w:val="center"/>
              <w:rPr>
                <w:rFonts w:ascii="宋体" w:hAnsi="宋体"/>
                <w:color w:val="auto"/>
                <w:szCs w:val="21"/>
                <w:highlight w:val="none"/>
              </w:rPr>
            </w:pPr>
          </w:p>
        </w:tc>
        <w:tc>
          <w:tcPr>
            <w:tcW w:w="705" w:type="dxa"/>
            <w:vAlign w:val="center"/>
          </w:tcPr>
          <w:p>
            <w:pPr>
              <w:spacing w:line="360" w:lineRule="auto"/>
              <w:jc w:val="center"/>
              <w:rPr>
                <w:rFonts w:ascii="宋体" w:hAnsi="宋体"/>
                <w:color w:val="auto"/>
                <w:szCs w:val="21"/>
                <w:highlight w:val="none"/>
              </w:rPr>
            </w:pPr>
          </w:p>
        </w:tc>
        <w:tc>
          <w:tcPr>
            <w:tcW w:w="705" w:type="dxa"/>
            <w:vAlign w:val="center"/>
          </w:tcPr>
          <w:p>
            <w:pPr>
              <w:spacing w:line="360" w:lineRule="auto"/>
              <w:jc w:val="center"/>
              <w:rPr>
                <w:rFonts w:ascii="宋体" w:hAnsi="宋体"/>
                <w:color w:val="auto"/>
                <w:szCs w:val="21"/>
                <w:highlight w:val="none"/>
              </w:rPr>
            </w:pPr>
          </w:p>
        </w:tc>
        <w:tc>
          <w:tcPr>
            <w:tcW w:w="1170" w:type="dxa"/>
            <w:vAlign w:val="center"/>
          </w:tcPr>
          <w:p>
            <w:pPr>
              <w:spacing w:line="360" w:lineRule="auto"/>
              <w:jc w:val="center"/>
              <w:rPr>
                <w:rFonts w:ascii="宋体" w:hAnsi="宋体"/>
                <w:color w:val="auto"/>
                <w:szCs w:val="21"/>
                <w:highlight w:val="none"/>
              </w:rPr>
            </w:pPr>
          </w:p>
        </w:tc>
        <w:tc>
          <w:tcPr>
            <w:tcW w:w="867" w:type="dxa"/>
            <w:vAlign w:val="center"/>
          </w:tcPr>
          <w:p>
            <w:pPr>
              <w:spacing w:line="360" w:lineRule="auto"/>
              <w:jc w:val="center"/>
              <w:rPr>
                <w:rFonts w:ascii="宋体" w:hAnsi="宋体"/>
                <w:color w:val="auto"/>
                <w:szCs w:val="21"/>
                <w:highlight w:val="none"/>
              </w:rPr>
            </w:pPr>
          </w:p>
        </w:tc>
        <w:tc>
          <w:tcPr>
            <w:tcW w:w="867" w:type="dxa"/>
            <w:vAlign w:val="center"/>
          </w:tcPr>
          <w:p>
            <w:pPr>
              <w:spacing w:line="360" w:lineRule="auto"/>
              <w:jc w:val="center"/>
              <w:rPr>
                <w:rFonts w:ascii="宋体" w:hAnsi="宋体"/>
                <w:color w:val="auto"/>
                <w:szCs w:val="21"/>
                <w:highlight w:val="none"/>
              </w:rPr>
            </w:pPr>
          </w:p>
        </w:tc>
        <w:tc>
          <w:tcPr>
            <w:tcW w:w="761"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41" w:type="dxa"/>
            <w:vAlign w:val="center"/>
          </w:tcPr>
          <w:p>
            <w:pPr>
              <w:spacing w:line="360" w:lineRule="auto"/>
              <w:jc w:val="center"/>
              <w:rPr>
                <w:rFonts w:ascii="宋体" w:hAnsi="宋体"/>
                <w:color w:val="auto"/>
                <w:szCs w:val="21"/>
                <w:highlight w:val="none"/>
              </w:rPr>
            </w:pPr>
          </w:p>
        </w:tc>
        <w:tc>
          <w:tcPr>
            <w:tcW w:w="1058" w:type="dxa"/>
            <w:vAlign w:val="center"/>
          </w:tcPr>
          <w:p>
            <w:pPr>
              <w:spacing w:line="360" w:lineRule="auto"/>
              <w:jc w:val="center"/>
              <w:rPr>
                <w:rFonts w:ascii="宋体" w:hAnsi="宋体"/>
                <w:color w:val="auto"/>
                <w:szCs w:val="21"/>
                <w:highlight w:val="none"/>
              </w:rPr>
            </w:pPr>
          </w:p>
        </w:tc>
        <w:tc>
          <w:tcPr>
            <w:tcW w:w="668" w:type="dxa"/>
            <w:vAlign w:val="center"/>
          </w:tcPr>
          <w:p>
            <w:pPr>
              <w:spacing w:line="360" w:lineRule="auto"/>
              <w:jc w:val="center"/>
              <w:rPr>
                <w:rFonts w:ascii="宋体" w:hAnsi="宋体"/>
                <w:color w:val="auto"/>
                <w:szCs w:val="21"/>
                <w:highlight w:val="none"/>
              </w:rPr>
            </w:pPr>
          </w:p>
        </w:tc>
        <w:tc>
          <w:tcPr>
            <w:tcW w:w="1017" w:type="dxa"/>
            <w:vAlign w:val="center"/>
          </w:tcPr>
          <w:p>
            <w:pPr>
              <w:spacing w:line="360" w:lineRule="auto"/>
              <w:jc w:val="center"/>
              <w:rPr>
                <w:rFonts w:ascii="宋体" w:hAnsi="宋体"/>
                <w:color w:val="auto"/>
                <w:szCs w:val="21"/>
                <w:highlight w:val="none"/>
              </w:rPr>
            </w:pPr>
          </w:p>
        </w:tc>
        <w:tc>
          <w:tcPr>
            <w:tcW w:w="705" w:type="dxa"/>
            <w:vAlign w:val="center"/>
          </w:tcPr>
          <w:p>
            <w:pPr>
              <w:spacing w:line="360" w:lineRule="auto"/>
              <w:jc w:val="center"/>
              <w:rPr>
                <w:rFonts w:ascii="宋体" w:hAnsi="宋体"/>
                <w:color w:val="auto"/>
                <w:szCs w:val="21"/>
                <w:highlight w:val="none"/>
              </w:rPr>
            </w:pPr>
          </w:p>
        </w:tc>
        <w:tc>
          <w:tcPr>
            <w:tcW w:w="705" w:type="dxa"/>
            <w:vAlign w:val="center"/>
          </w:tcPr>
          <w:p>
            <w:pPr>
              <w:spacing w:line="360" w:lineRule="auto"/>
              <w:jc w:val="center"/>
              <w:rPr>
                <w:rFonts w:ascii="宋体" w:hAnsi="宋体"/>
                <w:color w:val="auto"/>
                <w:szCs w:val="21"/>
                <w:highlight w:val="none"/>
              </w:rPr>
            </w:pPr>
          </w:p>
        </w:tc>
        <w:tc>
          <w:tcPr>
            <w:tcW w:w="1170" w:type="dxa"/>
            <w:vAlign w:val="center"/>
          </w:tcPr>
          <w:p>
            <w:pPr>
              <w:spacing w:line="360" w:lineRule="auto"/>
              <w:jc w:val="center"/>
              <w:rPr>
                <w:rFonts w:ascii="宋体" w:hAnsi="宋体"/>
                <w:color w:val="auto"/>
                <w:szCs w:val="21"/>
                <w:highlight w:val="none"/>
              </w:rPr>
            </w:pPr>
          </w:p>
        </w:tc>
        <w:tc>
          <w:tcPr>
            <w:tcW w:w="867" w:type="dxa"/>
            <w:vAlign w:val="center"/>
          </w:tcPr>
          <w:p>
            <w:pPr>
              <w:spacing w:line="360" w:lineRule="auto"/>
              <w:jc w:val="center"/>
              <w:rPr>
                <w:rFonts w:ascii="宋体" w:hAnsi="宋体"/>
                <w:color w:val="auto"/>
                <w:szCs w:val="21"/>
                <w:highlight w:val="none"/>
              </w:rPr>
            </w:pPr>
          </w:p>
        </w:tc>
        <w:tc>
          <w:tcPr>
            <w:tcW w:w="867" w:type="dxa"/>
            <w:vAlign w:val="center"/>
          </w:tcPr>
          <w:p>
            <w:pPr>
              <w:spacing w:line="360" w:lineRule="auto"/>
              <w:jc w:val="center"/>
              <w:rPr>
                <w:rFonts w:ascii="宋体" w:hAnsi="宋体"/>
                <w:color w:val="auto"/>
                <w:szCs w:val="21"/>
                <w:highlight w:val="none"/>
              </w:rPr>
            </w:pPr>
          </w:p>
        </w:tc>
        <w:tc>
          <w:tcPr>
            <w:tcW w:w="761"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41" w:type="dxa"/>
            <w:vAlign w:val="center"/>
          </w:tcPr>
          <w:p>
            <w:pPr>
              <w:spacing w:line="360" w:lineRule="auto"/>
              <w:jc w:val="center"/>
              <w:rPr>
                <w:rFonts w:ascii="宋体" w:hAnsi="宋体"/>
                <w:color w:val="auto"/>
                <w:szCs w:val="21"/>
                <w:highlight w:val="none"/>
              </w:rPr>
            </w:pPr>
          </w:p>
        </w:tc>
        <w:tc>
          <w:tcPr>
            <w:tcW w:w="1058" w:type="dxa"/>
            <w:vAlign w:val="center"/>
          </w:tcPr>
          <w:p>
            <w:pPr>
              <w:spacing w:line="360" w:lineRule="auto"/>
              <w:jc w:val="center"/>
              <w:rPr>
                <w:rFonts w:ascii="宋体" w:hAnsi="宋体"/>
                <w:color w:val="auto"/>
                <w:szCs w:val="21"/>
                <w:highlight w:val="none"/>
              </w:rPr>
            </w:pPr>
          </w:p>
        </w:tc>
        <w:tc>
          <w:tcPr>
            <w:tcW w:w="668" w:type="dxa"/>
            <w:vAlign w:val="center"/>
          </w:tcPr>
          <w:p>
            <w:pPr>
              <w:spacing w:line="360" w:lineRule="auto"/>
              <w:jc w:val="center"/>
              <w:rPr>
                <w:rFonts w:ascii="宋体" w:hAnsi="宋体"/>
                <w:color w:val="auto"/>
                <w:szCs w:val="21"/>
                <w:highlight w:val="none"/>
              </w:rPr>
            </w:pPr>
          </w:p>
        </w:tc>
        <w:tc>
          <w:tcPr>
            <w:tcW w:w="1017" w:type="dxa"/>
            <w:vAlign w:val="center"/>
          </w:tcPr>
          <w:p>
            <w:pPr>
              <w:spacing w:line="360" w:lineRule="auto"/>
              <w:jc w:val="center"/>
              <w:rPr>
                <w:rFonts w:ascii="宋体" w:hAnsi="宋体"/>
                <w:color w:val="auto"/>
                <w:szCs w:val="21"/>
                <w:highlight w:val="none"/>
              </w:rPr>
            </w:pPr>
          </w:p>
        </w:tc>
        <w:tc>
          <w:tcPr>
            <w:tcW w:w="705" w:type="dxa"/>
            <w:vAlign w:val="center"/>
          </w:tcPr>
          <w:p>
            <w:pPr>
              <w:spacing w:line="360" w:lineRule="auto"/>
              <w:jc w:val="center"/>
              <w:rPr>
                <w:rFonts w:ascii="宋体" w:hAnsi="宋体"/>
                <w:color w:val="auto"/>
                <w:szCs w:val="21"/>
                <w:highlight w:val="none"/>
              </w:rPr>
            </w:pPr>
          </w:p>
        </w:tc>
        <w:tc>
          <w:tcPr>
            <w:tcW w:w="705" w:type="dxa"/>
            <w:vAlign w:val="center"/>
          </w:tcPr>
          <w:p>
            <w:pPr>
              <w:spacing w:line="360" w:lineRule="auto"/>
              <w:jc w:val="center"/>
              <w:rPr>
                <w:rFonts w:ascii="宋体" w:hAnsi="宋体"/>
                <w:color w:val="auto"/>
                <w:szCs w:val="21"/>
                <w:highlight w:val="none"/>
              </w:rPr>
            </w:pPr>
          </w:p>
        </w:tc>
        <w:tc>
          <w:tcPr>
            <w:tcW w:w="1170" w:type="dxa"/>
            <w:vAlign w:val="center"/>
          </w:tcPr>
          <w:p>
            <w:pPr>
              <w:spacing w:line="360" w:lineRule="auto"/>
              <w:jc w:val="center"/>
              <w:rPr>
                <w:rFonts w:ascii="宋体" w:hAnsi="宋体"/>
                <w:color w:val="auto"/>
                <w:szCs w:val="21"/>
                <w:highlight w:val="none"/>
              </w:rPr>
            </w:pPr>
          </w:p>
        </w:tc>
        <w:tc>
          <w:tcPr>
            <w:tcW w:w="867" w:type="dxa"/>
            <w:vAlign w:val="center"/>
          </w:tcPr>
          <w:p>
            <w:pPr>
              <w:spacing w:line="360" w:lineRule="auto"/>
              <w:jc w:val="center"/>
              <w:rPr>
                <w:rFonts w:ascii="宋体" w:hAnsi="宋体"/>
                <w:color w:val="auto"/>
                <w:szCs w:val="21"/>
                <w:highlight w:val="none"/>
              </w:rPr>
            </w:pPr>
          </w:p>
        </w:tc>
        <w:tc>
          <w:tcPr>
            <w:tcW w:w="867" w:type="dxa"/>
            <w:vAlign w:val="center"/>
          </w:tcPr>
          <w:p>
            <w:pPr>
              <w:spacing w:line="360" w:lineRule="auto"/>
              <w:jc w:val="center"/>
              <w:rPr>
                <w:rFonts w:ascii="宋体" w:hAnsi="宋体"/>
                <w:color w:val="auto"/>
                <w:szCs w:val="21"/>
                <w:highlight w:val="none"/>
              </w:rPr>
            </w:pPr>
          </w:p>
        </w:tc>
        <w:tc>
          <w:tcPr>
            <w:tcW w:w="761"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41" w:type="dxa"/>
            <w:vAlign w:val="center"/>
          </w:tcPr>
          <w:p>
            <w:pPr>
              <w:spacing w:line="360" w:lineRule="auto"/>
              <w:jc w:val="center"/>
              <w:rPr>
                <w:rFonts w:ascii="宋体" w:hAnsi="宋体"/>
                <w:color w:val="auto"/>
                <w:szCs w:val="21"/>
                <w:highlight w:val="none"/>
              </w:rPr>
            </w:pPr>
          </w:p>
        </w:tc>
        <w:tc>
          <w:tcPr>
            <w:tcW w:w="1058" w:type="dxa"/>
            <w:vAlign w:val="center"/>
          </w:tcPr>
          <w:p>
            <w:pPr>
              <w:spacing w:line="360" w:lineRule="auto"/>
              <w:jc w:val="center"/>
              <w:rPr>
                <w:rFonts w:ascii="宋体" w:hAnsi="宋体"/>
                <w:color w:val="auto"/>
                <w:szCs w:val="21"/>
                <w:highlight w:val="none"/>
              </w:rPr>
            </w:pPr>
          </w:p>
        </w:tc>
        <w:tc>
          <w:tcPr>
            <w:tcW w:w="668" w:type="dxa"/>
            <w:vAlign w:val="center"/>
          </w:tcPr>
          <w:p>
            <w:pPr>
              <w:spacing w:line="360" w:lineRule="auto"/>
              <w:jc w:val="center"/>
              <w:rPr>
                <w:rFonts w:ascii="宋体" w:hAnsi="宋体"/>
                <w:color w:val="auto"/>
                <w:szCs w:val="21"/>
                <w:highlight w:val="none"/>
              </w:rPr>
            </w:pPr>
          </w:p>
        </w:tc>
        <w:tc>
          <w:tcPr>
            <w:tcW w:w="1017" w:type="dxa"/>
            <w:vAlign w:val="center"/>
          </w:tcPr>
          <w:p>
            <w:pPr>
              <w:spacing w:line="360" w:lineRule="auto"/>
              <w:jc w:val="center"/>
              <w:rPr>
                <w:rFonts w:ascii="宋体" w:hAnsi="宋体"/>
                <w:color w:val="auto"/>
                <w:szCs w:val="21"/>
                <w:highlight w:val="none"/>
              </w:rPr>
            </w:pPr>
          </w:p>
        </w:tc>
        <w:tc>
          <w:tcPr>
            <w:tcW w:w="705" w:type="dxa"/>
            <w:vAlign w:val="center"/>
          </w:tcPr>
          <w:p>
            <w:pPr>
              <w:spacing w:line="360" w:lineRule="auto"/>
              <w:jc w:val="center"/>
              <w:rPr>
                <w:rFonts w:ascii="宋体" w:hAnsi="宋体"/>
                <w:color w:val="auto"/>
                <w:szCs w:val="21"/>
                <w:highlight w:val="none"/>
              </w:rPr>
            </w:pPr>
          </w:p>
        </w:tc>
        <w:tc>
          <w:tcPr>
            <w:tcW w:w="705" w:type="dxa"/>
            <w:vAlign w:val="center"/>
          </w:tcPr>
          <w:p>
            <w:pPr>
              <w:spacing w:line="360" w:lineRule="auto"/>
              <w:jc w:val="center"/>
              <w:rPr>
                <w:rFonts w:ascii="宋体" w:hAnsi="宋体"/>
                <w:color w:val="auto"/>
                <w:szCs w:val="21"/>
                <w:highlight w:val="none"/>
              </w:rPr>
            </w:pPr>
          </w:p>
        </w:tc>
        <w:tc>
          <w:tcPr>
            <w:tcW w:w="1170" w:type="dxa"/>
            <w:vAlign w:val="center"/>
          </w:tcPr>
          <w:p>
            <w:pPr>
              <w:spacing w:line="360" w:lineRule="auto"/>
              <w:jc w:val="center"/>
              <w:rPr>
                <w:rFonts w:ascii="宋体" w:hAnsi="宋体"/>
                <w:color w:val="auto"/>
                <w:szCs w:val="21"/>
                <w:highlight w:val="none"/>
              </w:rPr>
            </w:pPr>
          </w:p>
        </w:tc>
        <w:tc>
          <w:tcPr>
            <w:tcW w:w="867" w:type="dxa"/>
            <w:vAlign w:val="center"/>
          </w:tcPr>
          <w:p>
            <w:pPr>
              <w:spacing w:line="360" w:lineRule="auto"/>
              <w:jc w:val="center"/>
              <w:rPr>
                <w:rFonts w:ascii="宋体" w:hAnsi="宋体"/>
                <w:color w:val="auto"/>
                <w:szCs w:val="21"/>
                <w:highlight w:val="none"/>
              </w:rPr>
            </w:pPr>
          </w:p>
        </w:tc>
        <w:tc>
          <w:tcPr>
            <w:tcW w:w="867" w:type="dxa"/>
            <w:vAlign w:val="center"/>
          </w:tcPr>
          <w:p>
            <w:pPr>
              <w:spacing w:line="360" w:lineRule="auto"/>
              <w:jc w:val="center"/>
              <w:rPr>
                <w:rFonts w:ascii="宋体" w:hAnsi="宋体"/>
                <w:color w:val="auto"/>
                <w:szCs w:val="21"/>
                <w:highlight w:val="none"/>
              </w:rPr>
            </w:pPr>
          </w:p>
        </w:tc>
        <w:tc>
          <w:tcPr>
            <w:tcW w:w="761"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41" w:type="dxa"/>
            <w:vAlign w:val="center"/>
          </w:tcPr>
          <w:p>
            <w:pPr>
              <w:spacing w:line="360" w:lineRule="auto"/>
              <w:jc w:val="center"/>
              <w:rPr>
                <w:rFonts w:ascii="宋体" w:hAnsi="宋体"/>
                <w:color w:val="auto"/>
                <w:szCs w:val="21"/>
                <w:highlight w:val="none"/>
              </w:rPr>
            </w:pPr>
          </w:p>
        </w:tc>
        <w:tc>
          <w:tcPr>
            <w:tcW w:w="1058" w:type="dxa"/>
            <w:vAlign w:val="center"/>
          </w:tcPr>
          <w:p>
            <w:pPr>
              <w:spacing w:line="360" w:lineRule="auto"/>
              <w:jc w:val="center"/>
              <w:rPr>
                <w:rFonts w:ascii="宋体" w:hAnsi="宋体"/>
                <w:color w:val="auto"/>
                <w:szCs w:val="21"/>
                <w:highlight w:val="none"/>
              </w:rPr>
            </w:pPr>
          </w:p>
        </w:tc>
        <w:tc>
          <w:tcPr>
            <w:tcW w:w="668" w:type="dxa"/>
            <w:vAlign w:val="center"/>
          </w:tcPr>
          <w:p>
            <w:pPr>
              <w:spacing w:line="360" w:lineRule="auto"/>
              <w:jc w:val="center"/>
              <w:rPr>
                <w:rFonts w:ascii="宋体" w:hAnsi="宋体"/>
                <w:color w:val="auto"/>
                <w:szCs w:val="21"/>
                <w:highlight w:val="none"/>
              </w:rPr>
            </w:pPr>
          </w:p>
        </w:tc>
        <w:tc>
          <w:tcPr>
            <w:tcW w:w="1017" w:type="dxa"/>
            <w:vAlign w:val="center"/>
          </w:tcPr>
          <w:p>
            <w:pPr>
              <w:spacing w:line="360" w:lineRule="auto"/>
              <w:jc w:val="center"/>
              <w:rPr>
                <w:rFonts w:ascii="宋体" w:hAnsi="宋体"/>
                <w:color w:val="auto"/>
                <w:szCs w:val="21"/>
                <w:highlight w:val="none"/>
              </w:rPr>
            </w:pPr>
          </w:p>
        </w:tc>
        <w:tc>
          <w:tcPr>
            <w:tcW w:w="705" w:type="dxa"/>
            <w:vAlign w:val="center"/>
          </w:tcPr>
          <w:p>
            <w:pPr>
              <w:spacing w:line="360" w:lineRule="auto"/>
              <w:jc w:val="center"/>
              <w:rPr>
                <w:rFonts w:ascii="宋体" w:hAnsi="宋体"/>
                <w:color w:val="auto"/>
                <w:szCs w:val="21"/>
                <w:highlight w:val="none"/>
              </w:rPr>
            </w:pPr>
          </w:p>
        </w:tc>
        <w:tc>
          <w:tcPr>
            <w:tcW w:w="705" w:type="dxa"/>
            <w:vAlign w:val="center"/>
          </w:tcPr>
          <w:p>
            <w:pPr>
              <w:spacing w:line="360" w:lineRule="auto"/>
              <w:jc w:val="center"/>
              <w:rPr>
                <w:rFonts w:ascii="宋体" w:hAnsi="宋体"/>
                <w:color w:val="auto"/>
                <w:szCs w:val="21"/>
                <w:highlight w:val="none"/>
              </w:rPr>
            </w:pPr>
          </w:p>
        </w:tc>
        <w:tc>
          <w:tcPr>
            <w:tcW w:w="1170" w:type="dxa"/>
            <w:vAlign w:val="center"/>
          </w:tcPr>
          <w:p>
            <w:pPr>
              <w:spacing w:line="360" w:lineRule="auto"/>
              <w:jc w:val="center"/>
              <w:rPr>
                <w:rFonts w:ascii="宋体" w:hAnsi="宋体"/>
                <w:color w:val="auto"/>
                <w:szCs w:val="21"/>
                <w:highlight w:val="none"/>
              </w:rPr>
            </w:pPr>
          </w:p>
        </w:tc>
        <w:tc>
          <w:tcPr>
            <w:tcW w:w="867" w:type="dxa"/>
            <w:vAlign w:val="center"/>
          </w:tcPr>
          <w:p>
            <w:pPr>
              <w:spacing w:line="360" w:lineRule="auto"/>
              <w:jc w:val="center"/>
              <w:rPr>
                <w:rFonts w:ascii="宋体" w:hAnsi="宋体"/>
                <w:color w:val="auto"/>
                <w:szCs w:val="21"/>
                <w:highlight w:val="none"/>
              </w:rPr>
            </w:pPr>
          </w:p>
        </w:tc>
        <w:tc>
          <w:tcPr>
            <w:tcW w:w="867" w:type="dxa"/>
            <w:vAlign w:val="center"/>
          </w:tcPr>
          <w:p>
            <w:pPr>
              <w:spacing w:line="360" w:lineRule="auto"/>
              <w:jc w:val="center"/>
              <w:rPr>
                <w:rFonts w:ascii="宋体" w:hAnsi="宋体"/>
                <w:color w:val="auto"/>
                <w:szCs w:val="21"/>
                <w:highlight w:val="none"/>
              </w:rPr>
            </w:pPr>
          </w:p>
        </w:tc>
        <w:tc>
          <w:tcPr>
            <w:tcW w:w="761"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41" w:type="dxa"/>
            <w:vAlign w:val="center"/>
          </w:tcPr>
          <w:p>
            <w:pPr>
              <w:spacing w:line="360" w:lineRule="auto"/>
              <w:jc w:val="center"/>
              <w:rPr>
                <w:rFonts w:ascii="宋体" w:hAnsi="宋体"/>
                <w:color w:val="auto"/>
                <w:szCs w:val="21"/>
                <w:highlight w:val="none"/>
              </w:rPr>
            </w:pPr>
          </w:p>
        </w:tc>
        <w:tc>
          <w:tcPr>
            <w:tcW w:w="1058" w:type="dxa"/>
            <w:vAlign w:val="center"/>
          </w:tcPr>
          <w:p>
            <w:pPr>
              <w:spacing w:line="360" w:lineRule="auto"/>
              <w:jc w:val="center"/>
              <w:rPr>
                <w:rFonts w:ascii="宋体" w:hAnsi="宋体"/>
                <w:color w:val="auto"/>
                <w:szCs w:val="21"/>
                <w:highlight w:val="none"/>
              </w:rPr>
            </w:pPr>
          </w:p>
        </w:tc>
        <w:tc>
          <w:tcPr>
            <w:tcW w:w="668" w:type="dxa"/>
            <w:vAlign w:val="center"/>
          </w:tcPr>
          <w:p>
            <w:pPr>
              <w:spacing w:line="360" w:lineRule="auto"/>
              <w:jc w:val="center"/>
              <w:rPr>
                <w:rFonts w:ascii="宋体" w:hAnsi="宋体"/>
                <w:color w:val="auto"/>
                <w:szCs w:val="21"/>
                <w:highlight w:val="none"/>
              </w:rPr>
            </w:pPr>
          </w:p>
        </w:tc>
        <w:tc>
          <w:tcPr>
            <w:tcW w:w="1017" w:type="dxa"/>
            <w:vAlign w:val="center"/>
          </w:tcPr>
          <w:p>
            <w:pPr>
              <w:spacing w:line="360" w:lineRule="auto"/>
              <w:jc w:val="center"/>
              <w:rPr>
                <w:rFonts w:ascii="宋体" w:hAnsi="宋体"/>
                <w:color w:val="auto"/>
                <w:szCs w:val="21"/>
                <w:highlight w:val="none"/>
              </w:rPr>
            </w:pPr>
          </w:p>
        </w:tc>
        <w:tc>
          <w:tcPr>
            <w:tcW w:w="705" w:type="dxa"/>
            <w:vAlign w:val="center"/>
          </w:tcPr>
          <w:p>
            <w:pPr>
              <w:spacing w:line="360" w:lineRule="auto"/>
              <w:jc w:val="center"/>
              <w:rPr>
                <w:rFonts w:ascii="宋体" w:hAnsi="宋体"/>
                <w:color w:val="auto"/>
                <w:szCs w:val="21"/>
                <w:highlight w:val="none"/>
              </w:rPr>
            </w:pPr>
          </w:p>
        </w:tc>
        <w:tc>
          <w:tcPr>
            <w:tcW w:w="705" w:type="dxa"/>
            <w:vAlign w:val="center"/>
          </w:tcPr>
          <w:p>
            <w:pPr>
              <w:spacing w:line="360" w:lineRule="auto"/>
              <w:jc w:val="center"/>
              <w:rPr>
                <w:rFonts w:ascii="宋体" w:hAnsi="宋体"/>
                <w:color w:val="auto"/>
                <w:szCs w:val="21"/>
                <w:highlight w:val="none"/>
              </w:rPr>
            </w:pPr>
          </w:p>
        </w:tc>
        <w:tc>
          <w:tcPr>
            <w:tcW w:w="1170" w:type="dxa"/>
            <w:vAlign w:val="center"/>
          </w:tcPr>
          <w:p>
            <w:pPr>
              <w:spacing w:line="360" w:lineRule="auto"/>
              <w:jc w:val="center"/>
              <w:rPr>
                <w:rFonts w:ascii="宋体" w:hAnsi="宋体"/>
                <w:color w:val="auto"/>
                <w:szCs w:val="21"/>
                <w:highlight w:val="none"/>
              </w:rPr>
            </w:pPr>
          </w:p>
        </w:tc>
        <w:tc>
          <w:tcPr>
            <w:tcW w:w="867" w:type="dxa"/>
            <w:vAlign w:val="center"/>
          </w:tcPr>
          <w:p>
            <w:pPr>
              <w:spacing w:line="360" w:lineRule="auto"/>
              <w:jc w:val="center"/>
              <w:rPr>
                <w:rFonts w:ascii="宋体" w:hAnsi="宋体"/>
                <w:color w:val="auto"/>
                <w:szCs w:val="21"/>
                <w:highlight w:val="none"/>
              </w:rPr>
            </w:pPr>
          </w:p>
        </w:tc>
        <w:tc>
          <w:tcPr>
            <w:tcW w:w="867" w:type="dxa"/>
            <w:vAlign w:val="center"/>
          </w:tcPr>
          <w:p>
            <w:pPr>
              <w:spacing w:line="360" w:lineRule="auto"/>
              <w:jc w:val="center"/>
              <w:rPr>
                <w:rFonts w:ascii="宋体" w:hAnsi="宋体"/>
                <w:color w:val="auto"/>
                <w:szCs w:val="21"/>
                <w:highlight w:val="none"/>
              </w:rPr>
            </w:pPr>
          </w:p>
        </w:tc>
        <w:tc>
          <w:tcPr>
            <w:tcW w:w="761"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41" w:type="dxa"/>
            <w:vAlign w:val="center"/>
          </w:tcPr>
          <w:p>
            <w:pPr>
              <w:spacing w:line="360" w:lineRule="auto"/>
              <w:jc w:val="center"/>
              <w:rPr>
                <w:rFonts w:ascii="宋体" w:hAnsi="宋体"/>
                <w:color w:val="auto"/>
                <w:szCs w:val="21"/>
                <w:highlight w:val="none"/>
              </w:rPr>
            </w:pPr>
          </w:p>
        </w:tc>
        <w:tc>
          <w:tcPr>
            <w:tcW w:w="1058" w:type="dxa"/>
            <w:vAlign w:val="center"/>
          </w:tcPr>
          <w:p>
            <w:pPr>
              <w:spacing w:line="360" w:lineRule="auto"/>
              <w:jc w:val="center"/>
              <w:rPr>
                <w:rFonts w:ascii="宋体" w:hAnsi="宋体"/>
                <w:color w:val="auto"/>
                <w:szCs w:val="21"/>
                <w:highlight w:val="none"/>
              </w:rPr>
            </w:pPr>
          </w:p>
        </w:tc>
        <w:tc>
          <w:tcPr>
            <w:tcW w:w="668" w:type="dxa"/>
            <w:vAlign w:val="center"/>
          </w:tcPr>
          <w:p>
            <w:pPr>
              <w:spacing w:line="360" w:lineRule="auto"/>
              <w:jc w:val="center"/>
              <w:rPr>
                <w:rFonts w:ascii="宋体" w:hAnsi="宋体"/>
                <w:color w:val="auto"/>
                <w:szCs w:val="21"/>
                <w:highlight w:val="none"/>
              </w:rPr>
            </w:pPr>
          </w:p>
        </w:tc>
        <w:tc>
          <w:tcPr>
            <w:tcW w:w="1017" w:type="dxa"/>
            <w:vAlign w:val="center"/>
          </w:tcPr>
          <w:p>
            <w:pPr>
              <w:spacing w:line="360" w:lineRule="auto"/>
              <w:jc w:val="center"/>
              <w:rPr>
                <w:rFonts w:ascii="宋体" w:hAnsi="宋体"/>
                <w:color w:val="auto"/>
                <w:szCs w:val="21"/>
                <w:highlight w:val="none"/>
              </w:rPr>
            </w:pPr>
          </w:p>
        </w:tc>
        <w:tc>
          <w:tcPr>
            <w:tcW w:w="705" w:type="dxa"/>
            <w:vAlign w:val="center"/>
          </w:tcPr>
          <w:p>
            <w:pPr>
              <w:spacing w:line="360" w:lineRule="auto"/>
              <w:jc w:val="center"/>
              <w:rPr>
                <w:rFonts w:ascii="宋体" w:hAnsi="宋体"/>
                <w:color w:val="auto"/>
                <w:szCs w:val="21"/>
                <w:highlight w:val="none"/>
              </w:rPr>
            </w:pPr>
          </w:p>
        </w:tc>
        <w:tc>
          <w:tcPr>
            <w:tcW w:w="705" w:type="dxa"/>
            <w:vAlign w:val="center"/>
          </w:tcPr>
          <w:p>
            <w:pPr>
              <w:spacing w:line="360" w:lineRule="auto"/>
              <w:jc w:val="center"/>
              <w:rPr>
                <w:rFonts w:ascii="宋体" w:hAnsi="宋体"/>
                <w:color w:val="auto"/>
                <w:szCs w:val="21"/>
                <w:highlight w:val="none"/>
              </w:rPr>
            </w:pPr>
          </w:p>
        </w:tc>
        <w:tc>
          <w:tcPr>
            <w:tcW w:w="1170" w:type="dxa"/>
            <w:vAlign w:val="center"/>
          </w:tcPr>
          <w:p>
            <w:pPr>
              <w:spacing w:line="360" w:lineRule="auto"/>
              <w:jc w:val="center"/>
              <w:rPr>
                <w:rFonts w:ascii="宋体" w:hAnsi="宋体"/>
                <w:color w:val="auto"/>
                <w:szCs w:val="21"/>
                <w:highlight w:val="none"/>
              </w:rPr>
            </w:pPr>
          </w:p>
        </w:tc>
        <w:tc>
          <w:tcPr>
            <w:tcW w:w="867" w:type="dxa"/>
            <w:vAlign w:val="center"/>
          </w:tcPr>
          <w:p>
            <w:pPr>
              <w:spacing w:line="360" w:lineRule="auto"/>
              <w:jc w:val="center"/>
              <w:rPr>
                <w:rFonts w:ascii="宋体" w:hAnsi="宋体"/>
                <w:color w:val="auto"/>
                <w:szCs w:val="21"/>
                <w:highlight w:val="none"/>
              </w:rPr>
            </w:pPr>
          </w:p>
        </w:tc>
        <w:tc>
          <w:tcPr>
            <w:tcW w:w="867" w:type="dxa"/>
            <w:vAlign w:val="center"/>
          </w:tcPr>
          <w:p>
            <w:pPr>
              <w:spacing w:line="360" w:lineRule="auto"/>
              <w:jc w:val="center"/>
              <w:rPr>
                <w:rFonts w:ascii="宋体" w:hAnsi="宋体"/>
                <w:color w:val="auto"/>
                <w:szCs w:val="21"/>
                <w:highlight w:val="none"/>
              </w:rPr>
            </w:pPr>
          </w:p>
        </w:tc>
        <w:tc>
          <w:tcPr>
            <w:tcW w:w="761"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41" w:type="dxa"/>
            <w:vAlign w:val="center"/>
          </w:tcPr>
          <w:p>
            <w:pPr>
              <w:spacing w:line="360" w:lineRule="auto"/>
              <w:jc w:val="center"/>
              <w:rPr>
                <w:rFonts w:ascii="宋体" w:hAnsi="宋体"/>
                <w:color w:val="auto"/>
                <w:szCs w:val="21"/>
                <w:highlight w:val="none"/>
              </w:rPr>
            </w:pPr>
          </w:p>
        </w:tc>
        <w:tc>
          <w:tcPr>
            <w:tcW w:w="1058" w:type="dxa"/>
            <w:vAlign w:val="center"/>
          </w:tcPr>
          <w:p>
            <w:pPr>
              <w:spacing w:line="360" w:lineRule="auto"/>
              <w:jc w:val="center"/>
              <w:rPr>
                <w:rFonts w:ascii="宋体" w:hAnsi="宋体"/>
                <w:color w:val="auto"/>
                <w:szCs w:val="21"/>
                <w:highlight w:val="none"/>
              </w:rPr>
            </w:pPr>
          </w:p>
        </w:tc>
        <w:tc>
          <w:tcPr>
            <w:tcW w:w="668" w:type="dxa"/>
            <w:vAlign w:val="center"/>
          </w:tcPr>
          <w:p>
            <w:pPr>
              <w:spacing w:line="360" w:lineRule="auto"/>
              <w:jc w:val="center"/>
              <w:rPr>
                <w:rFonts w:ascii="宋体" w:hAnsi="宋体"/>
                <w:color w:val="auto"/>
                <w:szCs w:val="21"/>
                <w:highlight w:val="none"/>
              </w:rPr>
            </w:pPr>
          </w:p>
        </w:tc>
        <w:tc>
          <w:tcPr>
            <w:tcW w:w="1017" w:type="dxa"/>
            <w:vAlign w:val="center"/>
          </w:tcPr>
          <w:p>
            <w:pPr>
              <w:spacing w:line="360" w:lineRule="auto"/>
              <w:jc w:val="center"/>
              <w:rPr>
                <w:rFonts w:ascii="宋体" w:hAnsi="宋体"/>
                <w:color w:val="auto"/>
                <w:szCs w:val="21"/>
                <w:highlight w:val="none"/>
              </w:rPr>
            </w:pPr>
          </w:p>
        </w:tc>
        <w:tc>
          <w:tcPr>
            <w:tcW w:w="705" w:type="dxa"/>
            <w:vAlign w:val="center"/>
          </w:tcPr>
          <w:p>
            <w:pPr>
              <w:spacing w:line="360" w:lineRule="auto"/>
              <w:jc w:val="center"/>
              <w:rPr>
                <w:rFonts w:ascii="宋体" w:hAnsi="宋体"/>
                <w:color w:val="auto"/>
                <w:szCs w:val="21"/>
                <w:highlight w:val="none"/>
              </w:rPr>
            </w:pPr>
          </w:p>
        </w:tc>
        <w:tc>
          <w:tcPr>
            <w:tcW w:w="705" w:type="dxa"/>
            <w:vAlign w:val="center"/>
          </w:tcPr>
          <w:p>
            <w:pPr>
              <w:spacing w:line="360" w:lineRule="auto"/>
              <w:jc w:val="center"/>
              <w:rPr>
                <w:rFonts w:ascii="宋体" w:hAnsi="宋体"/>
                <w:color w:val="auto"/>
                <w:szCs w:val="21"/>
                <w:highlight w:val="none"/>
              </w:rPr>
            </w:pPr>
          </w:p>
        </w:tc>
        <w:tc>
          <w:tcPr>
            <w:tcW w:w="1170" w:type="dxa"/>
            <w:vAlign w:val="center"/>
          </w:tcPr>
          <w:p>
            <w:pPr>
              <w:spacing w:line="360" w:lineRule="auto"/>
              <w:jc w:val="center"/>
              <w:rPr>
                <w:rFonts w:ascii="宋体" w:hAnsi="宋体"/>
                <w:color w:val="auto"/>
                <w:szCs w:val="21"/>
                <w:highlight w:val="none"/>
              </w:rPr>
            </w:pPr>
          </w:p>
        </w:tc>
        <w:tc>
          <w:tcPr>
            <w:tcW w:w="867" w:type="dxa"/>
            <w:vAlign w:val="center"/>
          </w:tcPr>
          <w:p>
            <w:pPr>
              <w:spacing w:line="360" w:lineRule="auto"/>
              <w:jc w:val="center"/>
              <w:rPr>
                <w:rFonts w:ascii="宋体" w:hAnsi="宋体"/>
                <w:color w:val="auto"/>
                <w:szCs w:val="21"/>
                <w:highlight w:val="none"/>
              </w:rPr>
            </w:pPr>
          </w:p>
        </w:tc>
        <w:tc>
          <w:tcPr>
            <w:tcW w:w="867" w:type="dxa"/>
            <w:vAlign w:val="center"/>
          </w:tcPr>
          <w:p>
            <w:pPr>
              <w:spacing w:line="360" w:lineRule="auto"/>
              <w:jc w:val="center"/>
              <w:rPr>
                <w:rFonts w:ascii="宋体" w:hAnsi="宋体"/>
                <w:color w:val="auto"/>
                <w:szCs w:val="21"/>
                <w:highlight w:val="none"/>
              </w:rPr>
            </w:pPr>
          </w:p>
        </w:tc>
        <w:tc>
          <w:tcPr>
            <w:tcW w:w="761"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41" w:type="dxa"/>
            <w:vAlign w:val="center"/>
          </w:tcPr>
          <w:p>
            <w:pPr>
              <w:spacing w:line="360" w:lineRule="auto"/>
              <w:jc w:val="center"/>
              <w:rPr>
                <w:rFonts w:ascii="宋体" w:hAnsi="宋体"/>
                <w:color w:val="auto"/>
                <w:szCs w:val="21"/>
                <w:highlight w:val="none"/>
              </w:rPr>
            </w:pPr>
          </w:p>
        </w:tc>
        <w:tc>
          <w:tcPr>
            <w:tcW w:w="1058" w:type="dxa"/>
            <w:vAlign w:val="center"/>
          </w:tcPr>
          <w:p>
            <w:pPr>
              <w:spacing w:line="360" w:lineRule="auto"/>
              <w:jc w:val="center"/>
              <w:rPr>
                <w:rFonts w:ascii="宋体" w:hAnsi="宋体"/>
                <w:color w:val="auto"/>
                <w:szCs w:val="21"/>
                <w:highlight w:val="none"/>
              </w:rPr>
            </w:pPr>
          </w:p>
        </w:tc>
        <w:tc>
          <w:tcPr>
            <w:tcW w:w="668" w:type="dxa"/>
            <w:vAlign w:val="center"/>
          </w:tcPr>
          <w:p>
            <w:pPr>
              <w:spacing w:line="360" w:lineRule="auto"/>
              <w:jc w:val="center"/>
              <w:rPr>
                <w:rFonts w:ascii="宋体" w:hAnsi="宋体"/>
                <w:color w:val="auto"/>
                <w:szCs w:val="21"/>
                <w:highlight w:val="none"/>
              </w:rPr>
            </w:pPr>
          </w:p>
        </w:tc>
        <w:tc>
          <w:tcPr>
            <w:tcW w:w="1017" w:type="dxa"/>
            <w:vAlign w:val="center"/>
          </w:tcPr>
          <w:p>
            <w:pPr>
              <w:spacing w:line="360" w:lineRule="auto"/>
              <w:jc w:val="center"/>
              <w:rPr>
                <w:rFonts w:ascii="宋体" w:hAnsi="宋体"/>
                <w:color w:val="auto"/>
                <w:szCs w:val="21"/>
                <w:highlight w:val="none"/>
              </w:rPr>
            </w:pPr>
          </w:p>
        </w:tc>
        <w:tc>
          <w:tcPr>
            <w:tcW w:w="705" w:type="dxa"/>
            <w:vAlign w:val="center"/>
          </w:tcPr>
          <w:p>
            <w:pPr>
              <w:spacing w:line="360" w:lineRule="auto"/>
              <w:jc w:val="center"/>
              <w:rPr>
                <w:rFonts w:ascii="宋体" w:hAnsi="宋体"/>
                <w:color w:val="auto"/>
                <w:szCs w:val="21"/>
                <w:highlight w:val="none"/>
              </w:rPr>
            </w:pPr>
          </w:p>
        </w:tc>
        <w:tc>
          <w:tcPr>
            <w:tcW w:w="705" w:type="dxa"/>
            <w:vAlign w:val="center"/>
          </w:tcPr>
          <w:p>
            <w:pPr>
              <w:spacing w:line="360" w:lineRule="auto"/>
              <w:jc w:val="center"/>
              <w:rPr>
                <w:rFonts w:ascii="宋体" w:hAnsi="宋体"/>
                <w:color w:val="auto"/>
                <w:szCs w:val="21"/>
                <w:highlight w:val="none"/>
              </w:rPr>
            </w:pPr>
          </w:p>
        </w:tc>
        <w:tc>
          <w:tcPr>
            <w:tcW w:w="1170" w:type="dxa"/>
            <w:vAlign w:val="center"/>
          </w:tcPr>
          <w:p>
            <w:pPr>
              <w:spacing w:line="360" w:lineRule="auto"/>
              <w:jc w:val="center"/>
              <w:rPr>
                <w:rFonts w:ascii="宋体" w:hAnsi="宋体"/>
                <w:color w:val="auto"/>
                <w:szCs w:val="21"/>
                <w:highlight w:val="none"/>
              </w:rPr>
            </w:pPr>
          </w:p>
        </w:tc>
        <w:tc>
          <w:tcPr>
            <w:tcW w:w="867" w:type="dxa"/>
            <w:vAlign w:val="center"/>
          </w:tcPr>
          <w:p>
            <w:pPr>
              <w:spacing w:line="360" w:lineRule="auto"/>
              <w:jc w:val="center"/>
              <w:rPr>
                <w:rFonts w:ascii="宋体" w:hAnsi="宋体"/>
                <w:color w:val="auto"/>
                <w:szCs w:val="21"/>
                <w:highlight w:val="none"/>
              </w:rPr>
            </w:pPr>
          </w:p>
        </w:tc>
        <w:tc>
          <w:tcPr>
            <w:tcW w:w="867" w:type="dxa"/>
            <w:vAlign w:val="center"/>
          </w:tcPr>
          <w:p>
            <w:pPr>
              <w:spacing w:line="360" w:lineRule="auto"/>
              <w:jc w:val="center"/>
              <w:rPr>
                <w:rFonts w:ascii="宋体" w:hAnsi="宋体"/>
                <w:color w:val="auto"/>
                <w:szCs w:val="21"/>
                <w:highlight w:val="none"/>
              </w:rPr>
            </w:pPr>
          </w:p>
        </w:tc>
        <w:tc>
          <w:tcPr>
            <w:tcW w:w="761"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41" w:type="dxa"/>
            <w:vAlign w:val="center"/>
          </w:tcPr>
          <w:p>
            <w:pPr>
              <w:spacing w:line="360" w:lineRule="auto"/>
              <w:jc w:val="center"/>
              <w:rPr>
                <w:rFonts w:ascii="宋体" w:hAnsi="宋体"/>
                <w:color w:val="auto"/>
                <w:szCs w:val="21"/>
                <w:highlight w:val="none"/>
              </w:rPr>
            </w:pPr>
          </w:p>
        </w:tc>
        <w:tc>
          <w:tcPr>
            <w:tcW w:w="1058" w:type="dxa"/>
            <w:vAlign w:val="center"/>
          </w:tcPr>
          <w:p>
            <w:pPr>
              <w:spacing w:line="360" w:lineRule="auto"/>
              <w:jc w:val="center"/>
              <w:rPr>
                <w:rFonts w:ascii="宋体" w:hAnsi="宋体"/>
                <w:color w:val="auto"/>
                <w:szCs w:val="21"/>
                <w:highlight w:val="none"/>
              </w:rPr>
            </w:pPr>
          </w:p>
        </w:tc>
        <w:tc>
          <w:tcPr>
            <w:tcW w:w="668" w:type="dxa"/>
            <w:vAlign w:val="center"/>
          </w:tcPr>
          <w:p>
            <w:pPr>
              <w:spacing w:line="360" w:lineRule="auto"/>
              <w:jc w:val="center"/>
              <w:rPr>
                <w:rFonts w:ascii="宋体" w:hAnsi="宋体"/>
                <w:color w:val="auto"/>
                <w:szCs w:val="21"/>
                <w:highlight w:val="none"/>
              </w:rPr>
            </w:pPr>
          </w:p>
        </w:tc>
        <w:tc>
          <w:tcPr>
            <w:tcW w:w="1017" w:type="dxa"/>
            <w:vAlign w:val="center"/>
          </w:tcPr>
          <w:p>
            <w:pPr>
              <w:spacing w:line="360" w:lineRule="auto"/>
              <w:jc w:val="center"/>
              <w:rPr>
                <w:rFonts w:ascii="宋体" w:hAnsi="宋体"/>
                <w:color w:val="auto"/>
                <w:szCs w:val="21"/>
                <w:highlight w:val="none"/>
              </w:rPr>
            </w:pPr>
          </w:p>
        </w:tc>
        <w:tc>
          <w:tcPr>
            <w:tcW w:w="705" w:type="dxa"/>
            <w:vAlign w:val="center"/>
          </w:tcPr>
          <w:p>
            <w:pPr>
              <w:spacing w:line="360" w:lineRule="auto"/>
              <w:jc w:val="center"/>
              <w:rPr>
                <w:rFonts w:ascii="宋体" w:hAnsi="宋体"/>
                <w:color w:val="auto"/>
                <w:szCs w:val="21"/>
                <w:highlight w:val="none"/>
              </w:rPr>
            </w:pPr>
          </w:p>
        </w:tc>
        <w:tc>
          <w:tcPr>
            <w:tcW w:w="705" w:type="dxa"/>
            <w:vAlign w:val="center"/>
          </w:tcPr>
          <w:p>
            <w:pPr>
              <w:spacing w:line="360" w:lineRule="auto"/>
              <w:jc w:val="center"/>
              <w:rPr>
                <w:rFonts w:ascii="宋体" w:hAnsi="宋体"/>
                <w:color w:val="auto"/>
                <w:szCs w:val="21"/>
                <w:highlight w:val="none"/>
              </w:rPr>
            </w:pPr>
          </w:p>
        </w:tc>
        <w:tc>
          <w:tcPr>
            <w:tcW w:w="1170" w:type="dxa"/>
            <w:vAlign w:val="center"/>
          </w:tcPr>
          <w:p>
            <w:pPr>
              <w:spacing w:line="360" w:lineRule="auto"/>
              <w:jc w:val="center"/>
              <w:rPr>
                <w:rFonts w:ascii="宋体" w:hAnsi="宋体"/>
                <w:color w:val="auto"/>
                <w:szCs w:val="21"/>
                <w:highlight w:val="none"/>
              </w:rPr>
            </w:pPr>
          </w:p>
        </w:tc>
        <w:tc>
          <w:tcPr>
            <w:tcW w:w="867" w:type="dxa"/>
            <w:vAlign w:val="center"/>
          </w:tcPr>
          <w:p>
            <w:pPr>
              <w:spacing w:line="360" w:lineRule="auto"/>
              <w:jc w:val="center"/>
              <w:rPr>
                <w:rFonts w:ascii="宋体" w:hAnsi="宋体"/>
                <w:color w:val="auto"/>
                <w:szCs w:val="21"/>
                <w:highlight w:val="none"/>
              </w:rPr>
            </w:pPr>
          </w:p>
        </w:tc>
        <w:tc>
          <w:tcPr>
            <w:tcW w:w="867" w:type="dxa"/>
            <w:vAlign w:val="center"/>
          </w:tcPr>
          <w:p>
            <w:pPr>
              <w:spacing w:line="360" w:lineRule="auto"/>
              <w:jc w:val="center"/>
              <w:rPr>
                <w:rFonts w:ascii="宋体" w:hAnsi="宋体"/>
                <w:color w:val="auto"/>
                <w:szCs w:val="21"/>
                <w:highlight w:val="none"/>
              </w:rPr>
            </w:pPr>
          </w:p>
        </w:tc>
        <w:tc>
          <w:tcPr>
            <w:tcW w:w="761"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41" w:type="dxa"/>
            <w:vAlign w:val="center"/>
          </w:tcPr>
          <w:p>
            <w:pPr>
              <w:spacing w:line="360" w:lineRule="auto"/>
              <w:jc w:val="center"/>
              <w:rPr>
                <w:rFonts w:ascii="宋体" w:hAnsi="宋体"/>
                <w:color w:val="auto"/>
                <w:szCs w:val="21"/>
                <w:highlight w:val="none"/>
              </w:rPr>
            </w:pPr>
          </w:p>
        </w:tc>
        <w:tc>
          <w:tcPr>
            <w:tcW w:w="1058" w:type="dxa"/>
            <w:vAlign w:val="center"/>
          </w:tcPr>
          <w:p>
            <w:pPr>
              <w:spacing w:line="360" w:lineRule="auto"/>
              <w:jc w:val="center"/>
              <w:rPr>
                <w:rFonts w:ascii="宋体" w:hAnsi="宋体"/>
                <w:color w:val="auto"/>
                <w:szCs w:val="21"/>
                <w:highlight w:val="none"/>
              </w:rPr>
            </w:pPr>
          </w:p>
        </w:tc>
        <w:tc>
          <w:tcPr>
            <w:tcW w:w="668" w:type="dxa"/>
            <w:vAlign w:val="center"/>
          </w:tcPr>
          <w:p>
            <w:pPr>
              <w:spacing w:line="360" w:lineRule="auto"/>
              <w:jc w:val="center"/>
              <w:rPr>
                <w:rFonts w:ascii="宋体" w:hAnsi="宋体"/>
                <w:color w:val="auto"/>
                <w:szCs w:val="21"/>
                <w:highlight w:val="none"/>
              </w:rPr>
            </w:pPr>
          </w:p>
        </w:tc>
        <w:tc>
          <w:tcPr>
            <w:tcW w:w="1017" w:type="dxa"/>
            <w:vAlign w:val="center"/>
          </w:tcPr>
          <w:p>
            <w:pPr>
              <w:spacing w:line="360" w:lineRule="auto"/>
              <w:jc w:val="center"/>
              <w:rPr>
                <w:rFonts w:ascii="宋体" w:hAnsi="宋体"/>
                <w:color w:val="auto"/>
                <w:szCs w:val="21"/>
                <w:highlight w:val="none"/>
              </w:rPr>
            </w:pPr>
          </w:p>
        </w:tc>
        <w:tc>
          <w:tcPr>
            <w:tcW w:w="705" w:type="dxa"/>
            <w:vAlign w:val="center"/>
          </w:tcPr>
          <w:p>
            <w:pPr>
              <w:spacing w:line="360" w:lineRule="auto"/>
              <w:jc w:val="center"/>
              <w:rPr>
                <w:rFonts w:ascii="宋体" w:hAnsi="宋体"/>
                <w:color w:val="auto"/>
                <w:szCs w:val="21"/>
                <w:highlight w:val="none"/>
              </w:rPr>
            </w:pPr>
          </w:p>
        </w:tc>
        <w:tc>
          <w:tcPr>
            <w:tcW w:w="705" w:type="dxa"/>
            <w:vAlign w:val="center"/>
          </w:tcPr>
          <w:p>
            <w:pPr>
              <w:spacing w:line="360" w:lineRule="auto"/>
              <w:jc w:val="center"/>
              <w:rPr>
                <w:rFonts w:ascii="宋体" w:hAnsi="宋体"/>
                <w:color w:val="auto"/>
                <w:szCs w:val="21"/>
                <w:highlight w:val="none"/>
              </w:rPr>
            </w:pPr>
          </w:p>
        </w:tc>
        <w:tc>
          <w:tcPr>
            <w:tcW w:w="1170" w:type="dxa"/>
            <w:vAlign w:val="center"/>
          </w:tcPr>
          <w:p>
            <w:pPr>
              <w:spacing w:line="360" w:lineRule="auto"/>
              <w:jc w:val="center"/>
              <w:rPr>
                <w:rFonts w:ascii="宋体" w:hAnsi="宋体"/>
                <w:color w:val="auto"/>
                <w:szCs w:val="21"/>
                <w:highlight w:val="none"/>
              </w:rPr>
            </w:pPr>
          </w:p>
        </w:tc>
        <w:tc>
          <w:tcPr>
            <w:tcW w:w="867" w:type="dxa"/>
            <w:vAlign w:val="center"/>
          </w:tcPr>
          <w:p>
            <w:pPr>
              <w:spacing w:line="360" w:lineRule="auto"/>
              <w:jc w:val="center"/>
              <w:rPr>
                <w:rFonts w:ascii="宋体" w:hAnsi="宋体"/>
                <w:color w:val="auto"/>
                <w:szCs w:val="21"/>
                <w:highlight w:val="none"/>
              </w:rPr>
            </w:pPr>
          </w:p>
        </w:tc>
        <w:tc>
          <w:tcPr>
            <w:tcW w:w="867" w:type="dxa"/>
            <w:vAlign w:val="center"/>
          </w:tcPr>
          <w:p>
            <w:pPr>
              <w:spacing w:line="360" w:lineRule="auto"/>
              <w:jc w:val="center"/>
              <w:rPr>
                <w:rFonts w:ascii="宋体" w:hAnsi="宋体"/>
                <w:color w:val="auto"/>
                <w:szCs w:val="21"/>
                <w:highlight w:val="none"/>
              </w:rPr>
            </w:pPr>
          </w:p>
        </w:tc>
        <w:tc>
          <w:tcPr>
            <w:tcW w:w="761"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41" w:type="dxa"/>
            <w:vAlign w:val="center"/>
          </w:tcPr>
          <w:p>
            <w:pPr>
              <w:spacing w:line="360" w:lineRule="auto"/>
              <w:jc w:val="center"/>
              <w:rPr>
                <w:rFonts w:ascii="宋体" w:hAnsi="宋体"/>
                <w:color w:val="auto"/>
                <w:szCs w:val="21"/>
                <w:highlight w:val="none"/>
              </w:rPr>
            </w:pPr>
          </w:p>
        </w:tc>
        <w:tc>
          <w:tcPr>
            <w:tcW w:w="1058" w:type="dxa"/>
            <w:vAlign w:val="center"/>
          </w:tcPr>
          <w:p>
            <w:pPr>
              <w:spacing w:line="360" w:lineRule="auto"/>
              <w:jc w:val="center"/>
              <w:rPr>
                <w:rFonts w:ascii="宋体" w:hAnsi="宋体"/>
                <w:color w:val="auto"/>
                <w:szCs w:val="21"/>
                <w:highlight w:val="none"/>
              </w:rPr>
            </w:pPr>
          </w:p>
        </w:tc>
        <w:tc>
          <w:tcPr>
            <w:tcW w:w="668" w:type="dxa"/>
            <w:vAlign w:val="center"/>
          </w:tcPr>
          <w:p>
            <w:pPr>
              <w:spacing w:line="360" w:lineRule="auto"/>
              <w:jc w:val="center"/>
              <w:rPr>
                <w:rFonts w:ascii="宋体" w:hAnsi="宋体"/>
                <w:color w:val="auto"/>
                <w:szCs w:val="21"/>
                <w:highlight w:val="none"/>
              </w:rPr>
            </w:pPr>
          </w:p>
        </w:tc>
        <w:tc>
          <w:tcPr>
            <w:tcW w:w="1017" w:type="dxa"/>
            <w:vAlign w:val="center"/>
          </w:tcPr>
          <w:p>
            <w:pPr>
              <w:spacing w:line="360" w:lineRule="auto"/>
              <w:jc w:val="center"/>
              <w:rPr>
                <w:rFonts w:ascii="宋体" w:hAnsi="宋体"/>
                <w:color w:val="auto"/>
                <w:szCs w:val="21"/>
                <w:highlight w:val="none"/>
              </w:rPr>
            </w:pPr>
          </w:p>
        </w:tc>
        <w:tc>
          <w:tcPr>
            <w:tcW w:w="705" w:type="dxa"/>
            <w:vAlign w:val="center"/>
          </w:tcPr>
          <w:p>
            <w:pPr>
              <w:spacing w:line="360" w:lineRule="auto"/>
              <w:jc w:val="center"/>
              <w:rPr>
                <w:rFonts w:ascii="宋体" w:hAnsi="宋体"/>
                <w:color w:val="auto"/>
                <w:szCs w:val="21"/>
                <w:highlight w:val="none"/>
              </w:rPr>
            </w:pPr>
          </w:p>
        </w:tc>
        <w:tc>
          <w:tcPr>
            <w:tcW w:w="705" w:type="dxa"/>
            <w:vAlign w:val="center"/>
          </w:tcPr>
          <w:p>
            <w:pPr>
              <w:spacing w:line="360" w:lineRule="auto"/>
              <w:jc w:val="center"/>
              <w:rPr>
                <w:rFonts w:ascii="宋体" w:hAnsi="宋体"/>
                <w:color w:val="auto"/>
                <w:szCs w:val="21"/>
                <w:highlight w:val="none"/>
              </w:rPr>
            </w:pPr>
          </w:p>
        </w:tc>
        <w:tc>
          <w:tcPr>
            <w:tcW w:w="1170" w:type="dxa"/>
            <w:vAlign w:val="center"/>
          </w:tcPr>
          <w:p>
            <w:pPr>
              <w:spacing w:line="360" w:lineRule="auto"/>
              <w:jc w:val="center"/>
              <w:rPr>
                <w:rFonts w:ascii="宋体" w:hAnsi="宋体"/>
                <w:color w:val="auto"/>
                <w:szCs w:val="21"/>
                <w:highlight w:val="none"/>
              </w:rPr>
            </w:pPr>
          </w:p>
        </w:tc>
        <w:tc>
          <w:tcPr>
            <w:tcW w:w="867" w:type="dxa"/>
            <w:vAlign w:val="center"/>
          </w:tcPr>
          <w:p>
            <w:pPr>
              <w:spacing w:line="360" w:lineRule="auto"/>
              <w:jc w:val="center"/>
              <w:rPr>
                <w:rFonts w:ascii="宋体" w:hAnsi="宋体"/>
                <w:color w:val="auto"/>
                <w:szCs w:val="21"/>
                <w:highlight w:val="none"/>
              </w:rPr>
            </w:pPr>
          </w:p>
        </w:tc>
        <w:tc>
          <w:tcPr>
            <w:tcW w:w="867" w:type="dxa"/>
            <w:vAlign w:val="center"/>
          </w:tcPr>
          <w:p>
            <w:pPr>
              <w:spacing w:line="360" w:lineRule="auto"/>
              <w:jc w:val="center"/>
              <w:rPr>
                <w:rFonts w:ascii="宋体" w:hAnsi="宋体"/>
                <w:color w:val="auto"/>
                <w:szCs w:val="21"/>
                <w:highlight w:val="none"/>
              </w:rPr>
            </w:pPr>
          </w:p>
        </w:tc>
        <w:tc>
          <w:tcPr>
            <w:tcW w:w="761"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41" w:type="dxa"/>
            <w:vAlign w:val="center"/>
          </w:tcPr>
          <w:p>
            <w:pPr>
              <w:spacing w:line="360" w:lineRule="auto"/>
              <w:jc w:val="center"/>
              <w:rPr>
                <w:rFonts w:ascii="宋体" w:hAnsi="宋体"/>
                <w:color w:val="auto"/>
                <w:szCs w:val="21"/>
                <w:highlight w:val="none"/>
              </w:rPr>
            </w:pPr>
          </w:p>
        </w:tc>
        <w:tc>
          <w:tcPr>
            <w:tcW w:w="1058" w:type="dxa"/>
            <w:vAlign w:val="center"/>
          </w:tcPr>
          <w:p>
            <w:pPr>
              <w:spacing w:line="360" w:lineRule="auto"/>
              <w:jc w:val="center"/>
              <w:rPr>
                <w:rFonts w:ascii="宋体" w:hAnsi="宋体"/>
                <w:color w:val="auto"/>
                <w:szCs w:val="21"/>
                <w:highlight w:val="none"/>
              </w:rPr>
            </w:pPr>
          </w:p>
        </w:tc>
        <w:tc>
          <w:tcPr>
            <w:tcW w:w="668" w:type="dxa"/>
            <w:vAlign w:val="center"/>
          </w:tcPr>
          <w:p>
            <w:pPr>
              <w:spacing w:line="360" w:lineRule="auto"/>
              <w:jc w:val="center"/>
              <w:rPr>
                <w:rFonts w:ascii="宋体" w:hAnsi="宋体"/>
                <w:color w:val="auto"/>
                <w:szCs w:val="21"/>
                <w:highlight w:val="none"/>
              </w:rPr>
            </w:pPr>
          </w:p>
        </w:tc>
        <w:tc>
          <w:tcPr>
            <w:tcW w:w="1017" w:type="dxa"/>
            <w:vAlign w:val="center"/>
          </w:tcPr>
          <w:p>
            <w:pPr>
              <w:spacing w:line="360" w:lineRule="auto"/>
              <w:jc w:val="center"/>
              <w:rPr>
                <w:rFonts w:ascii="宋体" w:hAnsi="宋体"/>
                <w:color w:val="auto"/>
                <w:szCs w:val="21"/>
                <w:highlight w:val="none"/>
              </w:rPr>
            </w:pPr>
          </w:p>
        </w:tc>
        <w:tc>
          <w:tcPr>
            <w:tcW w:w="705" w:type="dxa"/>
            <w:vAlign w:val="center"/>
          </w:tcPr>
          <w:p>
            <w:pPr>
              <w:spacing w:line="360" w:lineRule="auto"/>
              <w:jc w:val="center"/>
              <w:rPr>
                <w:rFonts w:ascii="宋体" w:hAnsi="宋体"/>
                <w:color w:val="auto"/>
                <w:szCs w:val="21"/>
                <w:highlight w:val="none"/>
              </w:rPr>
            </w:pPr>
          </w:p>
        </w:tc>
        <w:tc>
          <w:tcPr>
            <w:tcW w:w="705" w:type="dxa"/>
            <w:vAlign w:val="center"/>
          </w:tcPr>
          <w:p>
            <w:pPr>
              <w:spacing w:line="360" w:lineRule="auto"/>
              <w:jc w:val="center"/>
              <w:rPr>
                <w:rFonts w:ascii="宋体" w:hAnsi="宋体"/>
                <w:color w:val="auto"/>
                <w:szCs w:val="21"/>
                <w:highlight w:val="none"/>
              </w:rPr>
            </w:pPr>
          </w:p>
        </w:tc>
        <w:tc>
          <w:tcPr>
            <w:tcW w:w="1170" w:type="dxa"/>
            <w:vAlign w:val="center"/>
          </w:tcPr>
          <w:p>
            <w:pPr>
              <w:spacing w:line="360" w:lineRule="auto"/>
              <w:jc w:val="center"/>
              <w:rPr>
                <w:rFonts w:ascii="宋体" w:hAnsi="宋体"/>
                <w:color w:val="auto"/>
                <w:szCs w:val="21"/>
                <w:highlight w:val="none"/>
              </w:rPr>
            </w:pPr>
          </w:p>
        </w:tc>
        <w:tc>
          <w:tcPr>
            <w:tcW w:w="867" w:type="dxa"/>
            <w:vAlign w:val="center"/>
          </w:tcPr>
          <w:p>
            <w:pPr>
              <w:spacing w:line="360" w:lineRule="auto"/>
              <w:jc w:val="center"/>
              <w:rPr>
                <w:rFonts w:ascii="宋体" w:hAnsi="宋体"/>
                <w:color w:val="auto"/>
                <w:szCs w:val="21"/>
                <w:highlight w:val="none"/>
              </w:rPr>
            </w:pPr>
          </w:p>
        </w:tc>
        <w:tc>
          <w:tcPr>
            <w:tcW w:w="867" w:type="dxa"/>
            <w:vAlign w:val="center"/>
          </w:tcPr>
          <w:p>
            <w:pPr>
              <w:spacing w:line="360" w:lineRule="auto"/>
              <w:jc w:val="center"/>
              <w:rPr>
                <w:rFonts w:ascii="宋体" w:hAnsi="宋体"/>
                <w:color w:val="auto"/>
                <w:szCs w:val="21"/>
                <w:highlight w:val="none"/>
              </w:rPr>
            </w:pPr>
          </w:p>
        </w:tc>
        <w:tc>
          <w:tcPr>
            <w:tcW w:w="761"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41" w:type="dxa"/>
            <w:vAlign w:val="center"/>
          </w:tcPr>
          <w:p>
            <w:pPr>
              <w:spacing w:line="360" w:lineRule="auto"/>
              <w:jc w:val="center"/>
              <w:rPr>
                <w:rFonts w:ascii="宋体" w:hAnsi="宋体"/>
                <w:color w:val="auto"/>
                <w:szCs w:val="21"/>
                <w:highlight w:val="none"/>
              </w:rPr>
            </w:pPr>
          </w:p>
        </w:tc>
        <w:tc>
          <w:tcPr>
            <w:tcW w:w="1058" w:type="dxa"/>
            <w:vAlign w:val="center"/>
          </w:tcPr>
          <w:p>
            <w:pPr>
              <w:spacing w:line="360" w:lineRule="auto"/>
              <w:jc w:val="center"/>
              <w:rPr>
                <w:rFonts w:ascii="宋体" w:hAnsi="宋体"/>
                <w:color w:val="auto"/>
                <w:szCs w:val="21"/>
                <w:highlight w:val="none"/>
              </w:rPr>
            </w:pPr>
          </w:p>
        </w:tc>
        <w:tc>
          <w:tcPr>
            <w:tcW w:w="668" w:type="dxa"/>
            <w:vAlign w:val="center"/>
          </w:tcPr>
          <w:p>
            <w:pPr>
              <w:spacing w:line="360" w:lineRule="auto"/>
              <w:jc w:val="center"/>
              <w:rPr>
                <w:rFonts w:ascii="宋体" w:hAnsi="宋体"/>
                <w:color w:val="auto"/>
                <w:szCs w:val="21"/>
                <w:highlight w:val="none"/>
              </w:rPr>
            </w:pPr>
          </w:p>
        </w:tc>
        <w:tc>
          <w:tcPr>
            <w:tcW w:w="1017" w:type="dxa"/>
            <w:vAlign w:val="center"/>
          </w:tcPr>
          <w:p>
            <w:pPr>
              <w:spacing w:line="360" w:lineRule="auto"/>
              <w:jc w:val="center"/>
              <w:rPr>
                <w:rFonts w:ascii="宋体" w:hAnsi="宋体"/>
                <w:color w:val="auto"/>
                <w:szCs w:val="21"/>
                <w:highlight w:val="none"/>
              </w:rPr>
            </w:pPr>
          </w:p>
        </w:tc>
        <w:tc>
          <w:tcPr>
            <w:tcW w:w="705" w:type="dxa"/>
            <w:vAlign w:val="center"/>
          </w:tcPr>
          <w:p>
            <w:pPr>
              <w:spacing w:line="360" w:lineRule="auto"/>
              <w:jc w:val="center"/>
              <w:rPr>
                <w:rFonts w:ascii="宋体" w:hAnsi="宋体"/>
                <w:color w:val="auto"/>
                <w:szCs w:val="21"/>
                <w:highlight w:val="none"/>
              </w:rPr>
            </w:pPr>
          </w:p>
        </w:tc>
        <w:tc>
          <w:tcPr>
            <w:tcW w:w="705" w:type="dxa"/>
            <w:vAlign w:val="center"/>
          </w:tcPr>
          <w:p>
            <w:pPr>
              <w:spacing w:line="360" w:lineRule="auto"/>
              <w:jc w:val="center"/>
              <w:rPr>
                <w:rFonts w:ascii="宋体" w:hAnsi="宋体"/>
                <w:color w:val="auto"/>
                <w:szCs w:val="21"/>
                <w:highlight w:val="none"/>
              </w:rPr>
            </w:pPr>
          </w:p>
        </w:tc>
        <w:tc>
          <w:tcPr>
            <w:tcW w:w="1170" w:type="dxa"/>
            <w:vAlign w:val="center"/>
          </w:tcPr>
          <w:p>
            <w:pPr>
              <w:spacing w:line="360" w:lineRule="auto"/>
              <w:jc w:val="center"/>
              <w:rPr>
                <w:rFonts w:ascii="宋体" w:hAnsi="宋体"/>
                <w:color w:val="auto"/>
                <w:szCs w:val="21"/>
                <w:highlight w:val="none"/>
              </w:rPr>
            </w:pPr>
          </w:p>
        </w:tc>
        <w:tc>
          <w:tcPr>
            <w:tcW w:w="867" w:type="dxa"/>
            <w:vAlign w:val="center"/>
          </w:tcPr>
          <w:p>
            <w:pPr>
              <w:spacing w:line="360" w:lineRule="auto"/>
              <w:jc w:val="center"/>
              <w:rPr>
                <w:rFonts w:ascii="宋体" w:hAnsi="宋体"/>
                <w:color w:val="auto"/>
                <w:szCs w:val="21"/>
                <w:highlight w:val="none"/>
              </w:rPr>
            </w:pPr>
          </w:p>
        </w:tc>
        <w:tc>
          <w:tcPr>
            <w:tcW w:w="867" w:type="dxa"/>
            <w:vAlign w:val="center"/>
          </w:tcPr>
          <w:p>
            <w:pPr>
              <w:spacing w:line="360" w:lineRule="auto"/>
              <w:jc w:val="center"/>
              <w:rPr>
                <w:rFonts w:ascii="宋体" w:hAnsi="宋体"/>
                <w:color w:val="auto"/>
                <w:szCs w:val="21"/>
                <w:highlight w:val="none"/>
              </w:rPr>
            </w:pPr>
          </w:p>
        </w:tc>
        <w:tc>
          <w:tcPr>
            <w:tcW w:w="761"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41" w:type="dxa"/>
            <w:vAlign w:val="center"/>
          </w:tcPr>
          <w:p>
            <w:pPr>
              <w:spacing w:line="360" w:lineRule="auto"/>
              <w:jc w:val="center"/>
              <w:rPr>
                <w:rFonts w:ascii="宋体" w:hAnsi="宋体"/>
                <w:color w:val="auto"/>
                <w:szCs w:val="21"/>
                <w:highlight w:val="none"/>
              </w:rPr>
            </w:pPr>
          </w:p>
        </w:tc>
        <w:tc>
          <w:tcPr>
            <w:tcW w:w="1058" w:type="dxa"/>
            <w:vAlign w:val="center"/>
          </w:tcPr>
          <w:p>
            <w:pPr>
              <w:spacing w:line="360" w:lineRule="auto"/>
              <w:jc w:val="center"/>
              <w:rPr>
                <w:rFonts w:ascii="宋体" w:hAnsi="宋体"/>
                <w:color w:val="auto"/>
                <w:szCs w:val="21"/>
                <w:highlight w:val="none"/>
              </w:rPr>
            </w:pPr>
          </w:p>
        </w:tc>
        <w:tc>
          <w:tcPr>
            <w:tcW w:w="668" w:type="dxa"/>
            <w:vAlign w:val="center"/>
          </w:tcPr>
          <w:p>
            <w:pPr>
              <w:spacing w:line="360" w:lineRule="auto"/>
              <w:jc w:val="center"/>
              <w:rPr>
                <w:rFonts w:ascii="宋体" w:hAnsi="宋体"/>
                <w:color w:val="auto"/>
                <w:szCs w:val="21"/>
                <w:highlight w:val="none"/>
              </w:rPr>
            </w:pPr>
          </w:p>
        </w:tc>
        <w:tc>
          <w:tcPr>
            <w:tcW w:w="1017" w:type="dxa"/>
            <w:vAlign w:val="center"/>
          </w:tcPr>
          <w:p>
            <w:pPr>
              <w:spacing w:line="360" w:lineRule="auto"/>
              <w:jc w:val="center"/>
              <w:rPr>
                <w:rFonts w:ascii="宋体" w:hAnsi="宋体"/>
                <w:color w:val="auto"/>
                <w:szCs w:val="21"/>
                <w:highlight w:val="none"/>
              </w:rPr>
            </w:pPr>
          </w:p>
        </w:tc>
        <w:tc>
          <w:tcPr>
            <w:tcW w:w="705" w:type="dxa"/>
            <w:vAlign w:val="center"/>
          </w:tcPr>
          <w:p>
            <w:pPr>
              <w:spacing w:line="360" w:lineRule="auto"/>
              <w:jc w:val="center"/>
              <w:rPr>
                <w:rFonts w:ascii="宋体" w:hAnsi="宋体"/>
                <w:color w:val="auto"/>
                <w:szCs w:val="21"/>
                <w:highlight w:val="none"/>
              </w:rPr>
            </w:pPr>
          </w:p>
        </w:tc>
        <w:tc>
          <w:tcPr>
            <w:tcW w:w="705" w:type="dxa"/>
            <w:vAlign w:val="center"/>
          </w:tcPr>
          <w:p>
            <w:pPr>
              <w:spacing w:line="360" w:lineRule="auto"/>
              <w:jc w:val="center"/>
              <w:rPr>
                <w:rFonts w:ascii="宋体" w:hAnsi="宋体"/>
                <w:color w:val="auto"/>
                <w:szCs w:val="21"/>
                <w:highlight w:val="none"/>
              </w:rPr>
            </w:pPr>
          </w:p>
        </w:tc>
        <w:tc>
          <w:tcPr>
            <w:tcW w:w="1170" w:type="dxa"/>
            <w:vAlign w:val="center"/>
          </w:tcPr>
          <w:p>
            <w:pPr>
              <w:spacing w:line="360" w:lineRule="auto"/>
              <w:jc w:val="center"/>
              <w:rPr>
                <w:rFonts w:ascii="宋体" w:hAnsi="宋体"/>
                <w:color w:val="auto"/>
                <w:szCs w:val="21"/>
                <w:highlight w:val="none"/>
              </w:rPr>
            </w:pPr>
          </w:p>
        </w:tc>
        <w:tc>
          <w:tcPr>
            <w:tcW w:w="867" w:type="dxa"/>
            <w:vAlign w:val="center"/>
          </w:tcPr>
          <w:p>
            <w:pPr>
              <w:spacing w:line="360" w:lineRule="auto"/>
              <w:jc w:val="center"/>
              <w:rPr>
                <w:rFonts w:ascii="宋体" w:hAnsi="宋体"/>
                <w:color w:val="auto"/>
                <w:szCs w:val="21"/>
                <w:highlight w:val="none"/>
              </w:rPr>
            </w:pPr>
          </w:p>
        </w:tc>
        <w:tc>
          <w:tcPr>
            <w:tcW w:w="867" w:type="dxa"/>
            <w:vAlign w:val="center"/>
          </w:tcPr>
          <w:p>
            <w:pPr>
              <w:spacing w:line="360" w:lineRule="auto"/>
              <w:jc w:val="center"/>
              <w:rPr>
                <w:rFonts w:ascii="宋体" w:hAnsi="宋体"/>
                <w:color w:val="auto"/>
                <w:szCs w:val="21"/>
                <w:highlight w:val="none"/>
              </w:rPr>
            </w:pPr>
          </w:p>
        </w:tc>
        <w:tc>
          <w:tcPr>
            <w:tcW w:w="761"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41" w:type="dxa"/>
            <w:vAlign w:val="center"/>
          </w:tcPr>
          <w:p>
            <w:pPr>
              <w:spacing w:line="360" w:lineRule="auto"/>
              <w:jc w:val="center"/>
              <w:rPr>
                <w:rFonts w:ascii="宋体" w:hAnsi="宋体"/>
                <w:color w:val="auto"/>
                <w:szCs w:val="21"/>
                <w:highlight w:val="none"/>
              </w:rPr>
            </w:pPr>
          </w:p>
        </w:tc>
        <w:tc>
          <w:tcPr>
            <w:tcW w:w="1058" w:type="dxa"/>
            <w:vAlign w:val="center"/>
          </w:tcPr>
          <w:p>
            <w:pPr>
              <w:spacing w:line="360" w:lineRule="auto"/>
              <w:jc w:val="center"/>
              <w:rPr>
                <w:rFonts w:ascii="宋体" w:hAnsi="宋体"/>
                <w:color w:val="auto"/>
                <w:szCs w:val="21"/>
                <w:highlight w:val="none"/>
              </w:rPr>
            </w:pPr>
          </w:p>
        </w:tc>
        <w:tc>
          <w:tcPr>
            <w:tcW w:w="668" w:type="dxa"/>
            <w:vAlign w:val="center"/>
          </w:tcPr>
          <w:p>
            <w:pPr>
              <w:spacing w:line="360" w:lineRule="auto"/>
              <w:jc w:val="center"/>
              <w:rPr>
                <w:rFonts w:ascii="宋体" w:hAnsi="宋体"/>
                <w:color w:val="auto"/>
                <w:szCs w:val="21"/>
                <w:highlight w:val="none"/>
              </w:rPr>
            </w:pPr>
          </w:p>
        </w:tc>
        <w:tc>
          <w:tcPr>
            <w:tcW w:w="1017" w:type="dxa"/>
            <w:vAlign w:val="center"/>
          </w:tcPr>
          <w:p>
            <w:pPr>
              <w:spacing w:line="360" w:lineRule="auto"/>
              <w:jc w:val="center"/>
              <w:rPr>
                <w:rFonts w:ascii="宋体" w:hAnsi="宋体"/>
                <w:color w:val="auto"/>
                <w:szCs w:val="21"/>
                <w:highlight w:val="none"/>
              </w:rPr>
            </w:pPr>
          </w:p>
        </w:tc>
        <w:tc>
          <w:tcPr>
            <w:tcW w:w="705" w:type="dxa"/>
            <w:vAlign w:val="center"/>
          </w:tcPr>
          <w:p>
            <w:pPr>
              <w:spacing w:line="360" w:lineRule="auto"/>
              <w:jc w:val="center"/>
              <w:rPr>
                <w:rFonts w:ascii="宋体" w:hAnsi="宋体"/>
                <w:color w:val="auto"/>
                <w:szCs w:val="21"/>
                <w:highlight w:val="none"/>
              </w:rPr>
            </w:pPr>
          </w:p>
        </w:tc>
        <w:tc>
          <w:tcPr>
            <w:tcW w:w="705" w:type="dxa"/>
            <w:vAlign w:val="center"/>
          </w:tcPr>
          <w:p>
            <w:pPr>
              <w:spacing w:line="360" w:lineRule="auto"/>
              <w:jc w:val="center"/>
              <w:rPr>
                <w:rFonts w:ascii="宋体" w:hAnsi="宋体"/>
                <w:color w:val="auto"/>
                <w:szCs w:val="21"/>
                <w:highlight w:val="none"/>
              </w:rPr>
            </w:pPr>
          </w:p>
        </w:tc>
        <w:tc>
          <w:tcPr>
            <w:tcW w:w="1170" w:type="dxa"/>
            <w:vAlign w:val="center"/>
          </w:tcPr>
          <w:p>
            <w:pPr>
              <w:spacing w:line="360" w:lineRule="auto"/>
              <w:jc w:val="center"/>
              <w:rPr>
                <w:rFonts w:ascii="宋体" w:hAnsi="宋体"/>
                <w:color w:val="auto"/>
                <w:szCs w:val="21"/>
                <w:highlight w:val="none"/>
              </w:rPr>
            </w:pPr>
          </w:p>
        </w:tc>
        <w:tc>
          <w:tcPr>
            <w:tcW w:w="867" w:type="dxa"/>
            <w:vAlign w:val="center"/>
          </w:tcPr>
          <w:p>
            <w:pPr>
              <w:spacing w:line="360" w:lineRule="auto"/>
              <w:jc w:val="center"/>
              <w:rPr>
                <w:rFonts w:ascii="宋体" w:hAnsi="宋体"/>
                <w:color w:val="auto"/>
                <w:szCs w:val="21"/>
                <w:highlight w:val="none"/>
              </w:rPr>
            </w:pPr>
          </w:p>
        </w:tc>
        <w:tc>
          <w:tcPr>
            <w:tcW w:w="867" w:type="dxa"/>
            <w:vAlign w:val="center"/>
          </w:tcPr>
          <w:p>
            <w:pPr>
              <w:spacing w:line="360" w:lineRule="auto"/>
              <w:jc w:val="center"/>
              <w:rPr>
                <w:rFonts w:ascii="宋体" w:hAnsi="宋体"/>
                <w:color w:val="auto"/>
                <w:szCs w:val="21"/>
                <w:highlight w:val="none"/>
              </w:rPr>
            </w:pPr>
          </w:p>
        </w:tc>
        <w:tc>
          <w:tcPr>
            <w:tcW w:w="761"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41" w:type="dxa"/>
            <w:vAlign w:val="center"/>
          </w:tcPr>
          <w:p>
            <w:pPr>
              <w:spacing w:line="360" w:lineRule="auto"/>
              <w:jc w:val="center"/>
              <w:rPr>
                <w:rFonts w:ascii="宋体" w:hAnsi="宋体"/>
                <w:color w:val="auto"/>
                <w:szCs w:val="21"/>
                <w:highlight w:val="none"/>
              </w:rPr>
            </w:pPr>
          </w:p>
        </w:tc>
        <w:tc>
          <w:tcPr>
            <w:tcW w:w="1058" w:type="dxa"/>
            <w:vAlign w:val="center"/>
          </w:tcPr>
          <w:p>
            <w:pPr>
              <w:spacing w:line="360" w:lineRule="auto"/>
              <w:jc w:val="center"/>
              <w:rPr>
                <w:rFonts w:ascii="宋体" w:hAnsi="宋体"/>
                <w:color w:val="auto"/>
                <w:szCs w:val="21"/>
                <w:highlight w:val="none"/>
              </w:rPr>
            </w:pPr>
          </w:p>
        </w:tc>
        <w:tc>
          <w:tcPr>
            <w:tcW w:w="668" w:type="dxa"/>
            <w:vAlign w:val="center"/>
          </w:tcPr>
          <w:p>
            <w:pPr>
              <w:spacing w:line="360" w:lineRule="auto"/>
              <w:jc w:val="center"/>
              <w:rPr>
                <w:rFonts w:ascii="宋体" w:hAnsi="宋体"/>
                <w:color w:val="auto"/>
                <w:szCs w:val="21"/>
                <w:highlight w:val="none"/>
              </w:rPr>
            </w:pPr>
          </w:p>
        </w:tc>
        <w:tc>
          <w:tcPr>
            <w:tcW w:w="1017" w:type="dxa"/>
            <w:vAlign w:val="center"/>
          </w:tcPr>
          <w:p>
            <w:pPr>
              <w:spacing w:line="360" w:lineRule="auto"/>
              <w:jc w:val="center"/>
              <w:rPr>
                <w:rFonts w:ascii="宋体" w:hAnsi="宋体"/>
                <w:color w:val="auto"/>
                <w:szCs w:val="21"/>
                <w:highlight w:val="none"/>
              </w:rPr>
            </w:pPr>
          </w:p>
        </w:tc>
        <w:tc>
          <w:tcPr>
            <w:tcW w:w="705" w:type="dxa"/>
            <w:vAlign w:val="center"/>
          </w:tcPr>
          <w:p>
            <w:pPr>
              <w:spacing w:line="360" w:lineRule="auto"/>
              <w:jc w:val="center"/>
              <w:rPr>
                <w:rFonts w:ascii="宋体" w:hAnsi="宋体"/>
                <w:color w:val="auto"/>
                <w:szCs w:val="21"/>
                <w:highlight w:val="none"/>
              </w:rPr>
            </w:pPr>
          </w:p>
        </w:tc>
        <w:tc>
          <w:tcPr>
            <w:tcW w:w="705" w:type="dxa"/>
            <w:vAlign w:val="center"/>
          </w:tcPr>
          <w:p>
            <w:pPr>
              <w:spacing w:line="360" w:lineRule="auto"/>
              <w:jc w:val="center"/>
              <w:rPr>
                <w:rFonts w:ascii="宋体" w:hAnsi="宋体"/>
                <w:color w:val="auto"/>
                <w:szCs w:val="21"/>
                <w:highlight w:val="none"/>
              </w:rPr>
            </w:pPr>
          </w:p>
        </w:tc>
        <w:tc>
          <w:tcPr>
            <w:tcW w:w="1170" w:type="dxa"/>
            <w:vAlign w:val="center"/>
          </w:tcPr>
          <w:p>
            <w:pPr>
              <w:spacing w:line="360" w:lineRule="auto"/>
              <w:jc w:val="center"/>
              <w:rPr>
                <w:rFonts w:ascii="宋体" w:hAnsi="宋体"/>
                <w:color w:val="auto"/>
                <w:szCs w:val="21"/>
                <w:highlight w:val="none"/>
              </w:rPr>
            </w:pPr>
          </w:p>
        </w:tc>
        <w:tc>
          <w:tcPr>
            <w:tcW w:w="867" w:type="dxa"/>
            <w:vAlign w:val="center"/>
          </w:tcPr>
          <w:p>
            <w:pPr>
              <w:spacing w:line="360" w:lineRule="auto"/>
              <w:jc w:val="center"/>
              <w:rPr>
                <w:rFonts w:ascii="宋体" w:hAnsi="宋体"/>
                <w:color w:val="auto"/>
                <w:szCs w:val="21"/>
                <w:highlight w:val="none"/>
              </w:rPr>
            </w:pPr>
          </w:p>
        </w:tc>
        <w:tc>
          <w:tcPr>
            <w:tcW w:w="867" w:type="dxa"/>
            <w:vAlign w:val="center"/>
          </w:tcPr>
          <w:p>
            <w:pPr>
              <w:spacing w:line="360" w:lineRule="auto"/>
              <w:jc w:val="center"/>
              <w:rPr>
                <w:rFonts w:ascii="宋体" w:hAnsi="宋体"/>
                <w:color w:val="auto"/>
                <w:szCs w:val="21"/>
                <w:highlight w:val="none"/>
              </w:rPr>
            </w:pPr>
          </w:p>
        </w:tc>
        <w:tc>
          <w:tcPr>
            <w:tcW w:w="761"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41" w:type="dxa"/>
            <w:vAlign w:val="center"/>
          </w:tcPr>
          <w:p>
            <w:pPr>
              <w:spacing w:line="360" w:lineRule="auto"/>
              <w:jc w:val="center"/>
              <w:rPr>
                <w:rFonts w:ascii="宋体" w:hAnsi="宋体"/>
                <w:color w:val="auto"/>
                <w:szCs w:val="21"/>
                <w:highlight w:val="none"/>
              </w:rPr>
            </w:pPr>
          </w:p>
        </w:tc>
        <w:tc>
          <w:tcPr>
            <w:tcW w:w="1058" w:type="dxa"/>
            <w:vAlign w:val="center"/>
          </w:tcPr>
          <w:p>
            <w:pPr>
              <w:spacing w:line="360" w:lineRule="auto"/>
              <w:jc w:val="center"/>
              <w:rPr>
                <w:rFonts w:ascii="宋体" w:hAnsi="宋体"/>
                <w:color w:val="auto"/>
                <w:szCs w:val="21"/>
                <w:highlight w:val="none"/>
              </w:rPr>
            </w:pPr>
          </w:p>
        </w:tc>
        <w:tc>
          <w:tcPr>
            <w:tcW w:w="668" w:type="dxa"/>
            <w:vAlign w:val="center"/>
          </w:tcPr>
          <w:p>
            <w:pPr>
              <w:spacing w:line="360" w:lineRule="auto"/>
              <w:jc w:val="center"/>
              <w:rPr>
                <w:rFonts w:ascii="宋体" w:hAnsi="宋体"/>
                <w:color w:val="auto"/>
                <w:szCs w:val="21"/>
                <w:highlight w:val="none"/>
              </w:rPr>
            </w:pPr>
          </w:p>
        </w:tc>
        <w:tc>
          <w:tcPr>
            <w:tcW w:w="1017" w:type="dxa"/>
            <w:vAlign w:val="center"/>
          </w:tcPr>
          <w:p>
            <w:pPr>
              <w:spacing w:line="360" w:lineRule="auto"/>
              <w:jc w:val="center"/>
              <w:rPr>
                <w:rFonts w:ascii="宋体" w:hAnsi="宋体"/>
                <w:color w:val="auto"/>
                <w:szCs w:val="21"/>
                <w:highlight w:val="none"/>
              </w:rPr>
            </w:pPr>
          </w:p>
        </w:tc>
        <w:tc>
          <w:tcPr>
            <w:tcW w:w="705" w:type="dxa"/>
            <w:vAlign w:val="center"/>
          </w:tcPr>
          <w:p>
            <w:pPr>
              <w:spacing w:line="360" w:lineRule="auto"/>
              <w:jc w:val="center"/>
              <w:rPr>
                <w:rFonts w:ascii="宋体" w:hAnsi="宋体"/>
                <w:color w:val="auto"/>
                <w:szCs w:val="21"/>
                <w:highlight w:val="none"/>
              </w:rPr>
            </w:pPr>
          </w:p>
        </w:tc>
        <w:tc>
          <w:tcPr>
            <w:tcW w:w="705" w:type="dxa"/>
            <w:vAlign w:val="center"/>
          </w:tcPr>
          <w:p>
            <w:pPr>
              <w:spacing w:line="360" w:lineRule="auto"/>
              <w:jc w:val="center"/>
              <w:rPr>
                <w:rFonts w:ascii="宋体" w:hAnsi="宋体"/>
                <w:color w:val="auto"/>
                <w:szCs w:val="21"/>
                <w:highlight w:val="none"/>
              </w:rPr>
            </w:pPr>
          </w:p>
        </w:tc>
        <w:tc>
          <w:tcPr>
            <w:tcW w:w="1170" w:type="dxa"/>
            <w:vAlign w:val="center"/>
          </w:tcPr>
          <w:p>
            <w:pPr>
              <w:spacing w:line="360" w:lineRule="auto"/>
              <w:jc w:val="center"/>
              <w:rPr>
                <w:rFonts w:ascii="宋体" w:hAnsi="宋体"/>
                <w:color w:val="auto"/>
                <w:szCs w:val="21"/>
                <w:highlight w:val="none"/>
              </w:rPr>
            </w:pPr>
          </w:p>
        </w:tc>
        <w:tc>
          <w:tcPr>
            <w:tcW w:w="867" w:type="dxa"/>
            <w:vAlign w:val="center"/>
          </w:tcPr>
          <w:p>
            <w:pPr>
              <w:spacing w:line="360" w:lineRule="auto"/>
              <w:jc w:val="center"/>
              <w:rPr>
                <w:rFonts w:ascii="宋体" w:hAnsi="宋体"/>
                <w:color w:val="auto"/>
                <w:szCs w:val="21"/>
                <w:highlight w:val="none"/>
              </w:rPr>
            </w:pPr>
          </w:p>
        </w:tc>
        <w:tc>
          <w:tcPr>
            <w:tcW w:w="867" w:type="dxa"/>
            <w:vAlign w:val="center"/>
          </w:tcPr>
          <w:p>
            <w:pPr>
              <w:spacing w:line="360" w:lineRule="auto"/>
              <w:jc w:val="center"/>
              <w:rPr>
                <w:rFonts w:ascii="宋体" w:hAnsi="宋体"/>
                <w:color w:val="auto"/>
                <w:szCs w:val="21"/>
                <w:highlight w:val="none"/>
              </w:rPr>
            </w:pPr>
          </w:p>
        </w:tc>
        <w:tc>
          <w:tcPr>
            <w:tcW w:w="761"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41" w:type="dxa"/>
            <w:vAlign w:val="center"/>
          </w:tcPr>
          <w:p>
            <w:pPr>
              <w:spacing w:line="360" w:lineRule="auto"/>
              <w:jc w:val="center"/>
              <w:rPr>
                <w:rFonts w:ascii="宋体" w:hAnsi="宋体"/>
                <w:color w:val="auto"/>
                <w:szCs w:val="21"/>
                <w:highlight w:val="none"/>
              </w:rPr>
            </w:pPr>
          </w:p>
        </w:tc>
        <w:tc>
          <w:tcPr>
            <w:tcW w:w="1058" w:type="dxa"/>
            <w:vAlign w:val="center"/>
          </w:tcPr>
          <w:p>
            <w:pPr>
              <w:spacing w:line="360" w:lineRule="auto"/>
              <w:jc w:val="center"/>
              <w:rPr>
                <w:rFonts w:ascii="宋体" w:hAnsi="宋体"/>
                <w:color w:val="auto"/>
                <w:szCs w:val="21"/>
                <w:highlight w:val="none"/>
              </w:rPr>
            </w:pPr>
          </w:p>
        </w:tc>
        <w:tc>
          <w:tcPr>
            <w:tcW w:w="668" w:type="dxa"/>
            <w:vAlign w:val="center"/>
          </w:tcPr>
          <w:p>
            <w:pPr>
              <w:spacing w:line="360" w:lineRule="auto"/>
              <w:jc w:val="center"/>
              <w:rPr>
                <w:rFonts w:ascii="宋体" w:hAnsi="宋体"/>
                <w:color w:val="auto"/>
                <w:szCs w:val="21"/>
                <w:highlight w:val="none"/>
              </w:rPr>
            </w:pPr>
          </w:p>
        </w:tc>
        <w:tc>
          <w:tcPr>
            <w:tcW w:w="1017" w:type="dxa"/>
            <w:vAlign w:val="center"/>
          </w:tcPr>
          <w:p>
            <w:pPr>
              <w:spacing w:line="360" w:lineRule="auto"/>
              <w:jc w:val="center"/>
              <w:rPr>
                <w:rFonts w:ascii="宋体" w:hAnsi="宋体"/>
                <w:color w:val="auto"/>
                <w:szCs w:val="21"/>
                <w:highlight w:val="none"/>
              </w:rPr>
            </w:pPr>
          </w:p>
        </w:tc>
        <w:tc>
          <w:tcPr>
            <w:tcW w:w="705" w:type="dxa"/>
            <w:vAlign w:val="center"/>
          </w:tcPr>
          <w:p>
            <w:pPr>
              <w:spacing w:line="360" w:lineRule="auto"/>
              <w:jc w:val="center"/>
              <w:rPr>
                <w:rFonts w:ascii="宋体" w:hAnsi="宋体"/>
                <w:color w:val="auto"/>
                <w:szCs w:val="21"/>
                <w:highlight w:val="none"/>
              </w:rPr>
            </w:pPr>
          </w:p>
        </w:tc>
        <w:tc>
          <w:tcPr>
            <w:tcW w:w="705" w:type="dxa"/>
            <w:vAlign w:val="center"/>
          </w:tcPr>
          <w:p>
            <w:pPr>
              <w:spacing w:line="360" w:lineRule="auto"/>
              <w:jc w:val="center"/>
              <w:rPr>
                <w:rFonts w:ascii="宋体" w:hAnsi="宋体"/>
                <w:color w:val="auto"/>
                <w:szCs w:val="21"/>
                <w:highlight w:val="none"/>
              </w:rPr>
            </w:pPr>
          </w:p>
        </w:tc>
        <w:tc>
          <w:tcPr>
            <w:tcW w:w="1170" w:type="dxa"/>
            <w:vAlign w:val="center"/>
          </w:tcPr>
          <w:p>
            <w:pPr>
              <w:spacing w:line="360" w:lineRule="auto"/>
              <w:jc w:val="center"/>
              <w:rPr>
                <w:rFonts w:ascii="宋体" w:hAnsi="宋体"/>
                <w:color w:val="auto"/>
                <w:szCs w:val="21"/>
                <w:highlight w:val="none"/>
              </w:rPr>
            </w:pPr>
          </w:p>
        </w:tc>
        <w:tc>
          <w:tcPr>
            <w:tcW w:w="867" w:type="dxa"/>
            <w:vAlign w:val="center"/>
          </w:tcPr>
          <w:p>
            <w:pPr>
              <w:spacing w:line="360" w:lineRule="auto"/>
              <w:jc w:val="center"/>
              <w:rPr>
                <w:rFonts w:ascii="宋体" w:hAnsi="宋体"/>
                <w:color w:val="auto"/>
                <w:szCs w:val="21"/>
                <w:highlight w:val="none"/>
              </w:rPr>
            </w:pPr>
          </w:p>
        </w:tc>
        <w:tc>
          <w:tcPr>
            <w:tcW w:w="867" w:type="dxa"/>
            <w:vAlign w:val="center"/>
          </w:tcPr>
          <w:p>
            <w:pPr>
              <w:spacing w:line="360" w:lineRule="auto"/>
              <w:jc w:val="center"/>
              <w:rPr>
                <w:rFonts w:ascii="宋体" w:hAnsi="宋体"/>
                <w:color w:val="auto"/>
                <w:szCs w:val="21"/>
                <w:highlight w:val="none"/>
              </w:rPr>
            </w:pPr>
          </w:p>
        </w:tc>
        <w:tc>
          <w:tcPr>
            <w:tcW w:w="761"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41" w:type="dxa"/>
            <w:vAlign w:val="center"/>
          </w:tcPr>
          <w:p>
            <w:pPr>
              <w:spacing w:line="360" w:lineRule="auto"/>
              <w:jc w:val="center"/>
              <w:rPr>
                <w:rFonts w:ascii="宋体" w:hAnsi="宋体"/>
                <w:color w:val="auto"/>
                <w:szCs w:val="21"/>
                <w:highlight w:val="none"/>
              </w:rPr>
            </w:pPr>
          </w:p>
        </w:tc>
        <w:tc>
          <w:tcPr>
            <w:tcW w:w="1058" w:type="dxa"/>
            <w:vAlign w:val="center"/>
          </w:tcPr>
          <w:p>
            <w:pPr>
              <w:spacing w:line="360" w:lineRule="auto"/>
              <w:jc w:val="center"/>
              <w:rPr>
                <w:rFonts w:ascii="宋体" w:hAnsi="宋体"/>
                <w:color w:val="auto"/>
                <w:szCs w:val="21"/>
                <w:highlight w:val="none"/>
              </w:rPr>
            </w:pPr>
          </w:p>
        </w:tc>
        <w:tc>
          <w:tcPr>
            <w:tcW w:w="668" w:type="dxa"/>
            <w:vAlign w:val="center"/>
          </w:tcPr>
          <w:p>
            <w:pPr>
              <w:spacing w:line="360" w:lineRule="auto"/>
              <w:jc w:val="center"/>
              <w:rPr>
                <w:rFonts w:ascii="宋体" w:hAnsi="宋体"/>
                <w:color w:val="auto"/>
                <w:szCs w:val="21"/>
                <w:highlight w:val="none"/>
              </w:rPr>
            </w:pPr>
          </w:p>
        </w:tc>
        <w:tc>
          <w:tcPr>
            <w:tcW w:w="1017" w:type="dxa"/>
            <w:vAlign w:val="center"/>
          </w:tcPr>
          <w:p>
            <w:pPr>
              <w:spacing w:line="360" w:lineRule="auto"/>
              <w:jc w:val="center"/>
              <w:rPr>
                <w:rFonts w:ascii="宋体" w:hAnsi="宋体"/>
                <w:color w:val="auto"/>
                <w:szCs w:val="21"/>
                <w:highlight w:val="none"/>
              </w:rPr>
            </w:pPr>
          </w:p>
        </w:tc>
        <w:tc>
          <w:tcPr>
            <w:tcW w:w="705" w:type="dxa"/>
            <w:vAlign w:val="center"/>
          </w:tcPr>
          <w:p>
            <w:pPr>
              <w:spacing w:line="360" w:lineRule="auto"/>
              <w:jc w:val="center"/>
              <w:rPr>
                <w:rFonts w:ascii="宋体" w:hAnsi="宋体"/>
                <w:color w:val="auto"/>
                <w:szCs w:val="21"/>
                <w:highlight w:val="none"/>
              </w:rPr>
            </w:pPr>
          </w:p>
        </w:tc>
        <w:tc>
          <w:tcPr>
            <w:tcW w:w="705" w:type="dxa"/>
            <w:vAlign w:val="center"/>
          </w:tcPr>
          <w:p>
            <w:pPr>
              <w:spacing w:line="360" w:lineRule="auto"/>
              <w:jc w:val="center"/>
              <w:rPr>
                <w:rFonts w:ascii="宋体" w:hAnsi="宋体"/>
                <w:color w:val="auto"/>
                <w:szCs w:val="21"/>
                <w:highlight w:val="none"/>
              </w:rPr>
            </w:pPr>
          </w:p>
        </w:tc>
        <w:tc>
          <w:tcPr>
            <w:tcW w:w="1170" w:type="dxa"/>
            <w:vAlign w:val="center"/>
          </w:tcPr>
          <w:p>
            <w:pPr>
              <w:spacing w:line="360" w:lineRule="auto"/>
              <w:jc w:val="center"/>
              <w:rPr>
                <w:rFonts w:ascii="宋体" w:hAnsi="宋体"/>
                <w:color w:val="auto"/>
                <w:szCs w:val="21"/>
                <w:highlight w:val="none"/>
              </w:rPr>
            </w:pPr>
          </w:p>
        </w:tc>
        <w:tc>
          <w:tcPr>
            <w:tcW w:w="867" w:type="dxa"/>
            <w:vAlign w:val="center"/>
          </w:tcPr>
          <w:p>
            <w:pPr>
              <w:spacing w:line="360" w:lineRule="auto"/>
              <w:jc w:val="center"/>
              <w:rPr>
                <w:rFonts w:ascii="宋体" w:hAnsi="宋体"/>
                <w:color w:val="auto"/>
                <w:szCs w:val="21"/>
                <w:highlight w:val="none"/>
              </w:rPr>
            </w:pPr>
          </w:p>
        </w:tc>
        <w:tc>
          <w:tcPr>
            <w:tcW w:w="867" w:type="dxa"/>
            <w:vAlign w:val="center"/>
          </w:tcPr>
          <w:p>
            <w:pPr>
              <w:spacing w:line="360" w:lineRule="auto"/>
              <w:jc w:val="center"/>
              <w:rPr>
                <w:rFonts w:ascii="宋体" w:hAnsi="宋体"/>
                <w:color w:val="auto"/>
                <w:szCs w:val="21"/>
                <w:highlight w:val="none"/>
              </w:rPr>
            </w:pPr>
          </w:p>
        </w:tc>
        <w:tc>
          <w:tcPr>
            <w:tcW w:w="761"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41" w:type="dxa"/>
            <w:vAlign w:val="center"/>
          </w:tcPr>
          <w:p>
            <w:pPr>
              <w:spacing w:line="360" w:lineRule="auto"/>
              <w:jc w:val="center"/>
              <w:rPr>
                <w:rFonts w:ascii="宋体" w:hAnsi="宋体"/>
                <w:color w:val="auto"/>
                <w:szCs w:val="21"/>
                <w:highlight w:val="none"/>
              </w:rPr>
            </w:pPr>
          </w:p>
        </w:tc>
        <w:tc>
          <w:tcPr>
            <w:tcW w:w="1058" w:type="dxa"/>
            <w:vAlign w:val="center"/>
          </w:tcPr>
          <w:p>
            <w:pPr>
              <w:spacing w:line="360" w:lineRule="auto"/>
              <w:jc w:val="center"/>
              <w:rPr>
                <w:rFonts w:ascii="宋体" w:hAnsi="宋体"/>
                <w:color w:val="auto"/>
                <w:szCs w:val="21"/>
                <w:highlight w:val="none"/>
              </w:rPr>
            </w:pPr>
          </w:p>
        </w:tc>
        <w:tc>
          <w:tcPr>
            <w:tcW w:w="668" w:type="dxa"/>
            <w:vAlign w:val="center"/>
          </w:tcPr>
          <w:p>
            <w:pPr>
              <w:spacing w:line="360" w:lineRule="auto"/>
              <w:jc w:val="center"/>
              <w:rPr>
                <w:rFonts w:ascii="宋体" w:hAnsi="宋体"/>
                <w:color w:val="auto"/>
                <w:szCs w:val="21"/>
                <w:highlight w:val="none"/>
              </w:rPr>
            </w:pPr>
          </w:p>
        </w:tc>
        <w:tc>
          <w:tcPr>
            <w:tcW w:w="1017" w:type="dxa"/>
            <w:vAlign w:val="center"/>
          </w:tcPr>
          <w:p>
            <w:pPr>
              <w:spacing w:line="360" w:lineRule="auto"/>
              <w:jc w:val="center"/>
              <w:rPr>
                <w:rFonts w:ascii="宋体" w:hAnsi="宋体"/>
                <w:color w:val="auto"/>
                <w:szCs w:val="21"/>
                <w:highlight w:val="none"/>
              </w:rPr>
            </w:pPr>
          </w:p>
        </w:tc>
        <w:tc>
          <w:tcPr>
            <w:tcW w:w="705" w:type="dxa"/>
            <w:vAlign w:val="center"/>
          </w:tcPr>
          <w:p>
            <w:pPr>
              <w:spacing w:line="360" w:lineRule="auto"/>
              <w:jc w:val="center"/>
              <w:rPr>
                <w:rFonts w:ascii="宋体" w:hAnsi="宋体"/>
                <w:color w:val="auto"/>
                <w:szCs w:val="21"/>
                <w:highlight w:val="none"/>
              </w:rPr>
            </w:pPr>
          </w:p>
        </w:tc>
        <w:tc>
          <w:tcPr>
            <w:tcW w:w="705" w:type="dxa"/>
            <w:vAlign w:val="center"/>
          </w:tcPr>
          <w:p>
            <w:pPr>
              <w:spacing w:line="360" w:lineRule="auto"/>
              <w:jc w:val="center"/>
              <w:rPr>
                <w:rFonts w:ascii="宋体" w:hAnsi="宋体"/>
                <w:color w:val="auto"/>
                <w:szCs w:val="21"/>
                <w:highlight w:val="none"/>
              </w:rPr>
            </w:pPr>
          </w:p>
        </w:tc>
        <w:tc>
          <w:tcPr>
            <w:tcW w:w="1170" w:type="dxa"/>
            <w:vAlign w:val="center"/>
          </w:tcPr>
          <w:p>
            <w:pPr>
              <w:spacing w:line="360" w:lineRule="auto"/>
              <w:jc w:val="center"/>
              <w:rPr>
                <w:rFonts w:ascii="宋体" w:hAnsi="宋体"/>
                <w:color w:val="auto"/>
                <w:szCs w:val="21"/>
                <w:highlight w:val="none"/>
              </w:rPr>
            </w:pPr>
          </w:p>
        </w:tc>
        <w:tc>
          <w:tcPr>
            <w:tcW w:w="867" w:type="dxa"/>
            <w:vAlign w:val="center"/>
          </w:tcPr>
          <w:p>
            <w:pPr>
              <w:spacing w:line="360" w:lineRule="auto"/>
              <w:jc w:val="center"/>
              <w:rPr>
                <w:rFonts w:ascii="宋体" w:hAnsi="宋体"/>
                <w:color w:val="auto"/>
                <w:szCs w:val="21"/>
                <w:highlight w:val="none"/>
              </w:rPr>
            </w:pPr>
          </w:p>
        </w:tc>
        <w:tc>
          <w:tcPr>
            <w:tcW w:w="867" w:type="dxa"/>
            <w:vAlign w:val="center"/>
          </w:tcPr>
          <w:p>
            <w:pPr>
              <w:spacing w:line="360" w:lineRule="auto"/>
              <w:jc w:val="center"/>
              <w:rPr>
                <w:rFonts w:ascii="宋体" w:hAnsi="宋体"/>
                <w:color w:val="auto"/>
                <w:szCs w:val="21"/>
                <w:highlight w:val="none"/>
              </w:rPr>
            </w:pPr>
          </w:p>
        </w:tc>
        <w:tc>
          <w:tcPr>
            <w:tcW w:w="761"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41" w:type="dxa"/>
            <w:vAlign w:val="center"/>
          </w:tcPr>
          <w:p>
            <w:pPr>
              <w:spacing w:line="360" w:lineRule="auto"/>
              <w:jc w:val="center"/>
              <w:rPr>
                <w:rFonts w:ascii="宋体" w:hAnsi="宋体"/>
                <w:color w:val="auto"/>
                <w:szCs w:val="21"/>
                <w:highlight w:val="none"/>
              </w:rPr>
            </w:pPr>
          </w:p>
        </w:tc>
        <w:tc>
          <w:tcPr>
            <w:tcW w:w="1058" w:type="dxa"/>
            <w:vAlign w:val="center"/>
          </w:tcPr>
          <w:p>
            <w:pPr>
              <w:spacing w:line="360" w:lineRule="auto"/>
              <w:jc w:val="center"/>
              <w:rPr>
                <w:rFonts w:ascii="宋体" w:hAnsi="宋体"/>
                <w:color w:val="auto"/>
                <w:szCs w:val="21"/>
                <w:highlight w:val="none"/>
              </w:rPr>
            </w:pPr>
          </w:p>
        </w:tc>
        <w:tc>
          <w:tcPr>
            <w:tcW w:w="668" w:type="dxa"/>
            <w:vAlign w:val="center"/>
          </w:tcPr>
          <w:p>
            <w:pPr>
              <w:spacing w:line="360" w:lineRule="auto"/>
              <w:jc w:val="center"/>
              <w:rPr>
                <w:rFonts w:ascii="宋体" w:hAnsi="宋体"/>
                <w:color w:val="auto"/>
                <w:szCs w:val="21"/>
                <w:highlight w:val="none"/>
              </w:rPr>
            </w:pPr>
          </w:p>
        </w:tc>
        <w:tc>
          <w:tcPr>
            <w:tcW w:w="1017" w:type="dxa"/>
            <w:vAlign w:val="center"/>
          </w:tcPr>
          <w:p>
            <w:pPr>
              <w:spacing w:line="360" w:lineRule="auto"/>
              <w:jc w:val="center"/>
              <w:rPr>
                <w:rFonts w:ascii="宋体" w:hAnsi="宋体"/>
                <w:color w:val="auto"/>
                <w:szCs w:val="21"/>
                <w:highlight w:val="none"/>
              </w:rPr>
            </w:pPr>
          </w:p>
        </w:tc>
        <w:tc>
          <w:tcPr>
            <w:tcW w:w="705" w:type="dxa"/>
            <w:vAlign w:val="center"/>
          </w:tcPr>
          <w:p>
            <w:pPr>
              <w:spacing w:line="360" w:lineRule="auto"/>
              <w:jc w:val="center"/>
              <w:rPr>
                <w:rFonts w:ascii="宋体" w:hAnsi="宋体"/>
                <w:color w:val="auto"/>
                <w:szCs w:val="21"/>
                <w:highlight w:val="none"/>
              </w:rPr>
            </w:pPr>
          </w:p>
        </w:tc>
        <w:tc>
          <w:tcPr>
            <w:tcW w:w="705" w:type="dxa"/>
            <w:vAlign w:val="center"/>
          </w:tcPr>
          <w:p>
            <w:pPr>
              <w:spacing w:line="360" w:lineRule="auto"/>
              <w:jc w:val="center"/>
              <w:rPr>
                <w:rFonts w:ascii="宋体" w:hAnsi="宋体"/>
                <w:color w:val="auto"/>
                <w:szCs w:val="21"/>
                <w:highlight w:val="none"/>
              </w:rPr>
            </w:pPr>
          </w:p>
        </w:tc>
        <w:tc>
          <w:tcPr>
            <w:tcW w:w="1170" w:type="dxa"/>
            <w:vAlign w:val="center"/>
          </w:tcPr>
          <w:p>
            <w:pPr>
              <w:spacing w:line="360" w:lineRule="auto"/>
              <w:jc w:val="center"/>
              <w:rPr>
                <w:rFonts w:ascii="宋体" w:hAnsi="宋体"/>
                <w:color w:val="auto"/>
                <w:szCs w:val="21"/>
                <w:highlight w:val="none"/>
              </w:rPr>
            </w:pPr>
          </w:p>
        </w:tc>
        <w:tc>
          <w:tcPr>
            <w:tcW w:w="867" w:type="dxa"/>
            <w:vAlign w:val="center"/>
          </w:tcPr>
          <w:p>
            <w:pPr>
              <w:spacing w:line="360" w:lineRule="auto"/>
              <w:jc w:val="center"/>
              <w:rPr>
                <w:rFonts w:ascii="宋体" w:hAnsi="宋体"/>
                <w:color w:val="auto"/>
                <w:szCs w:val="21"/>
                <w:highlight w:val="none"/>
              </w:rPr>
            </w:pPr>
          </w:p>
        </w:tc>
        <w:tc>
          <w:tcPr>
            <w:tcW w:w="867" w:type="dxa"/>
            <w:vAlign w:val="center"/>
          </w:tcPr>
          <w:p>
            <w:pPr>
              <w:spacing w:line="360" w:lineRule="auto"/>
              <w:jc w:val="center"/>
              <w:rPr>
                <w:rFonts w:ascii="宋体" w:hAnsi="宋体"/>
                <w:color w:val="auto"/>
                <w:szCs w:val="21"/>
                <w:highlight w:val="none"/>
              </w:rPr>
            </w:pPr>
          </w:p>
        </w:tc>
        <w:tc>
          <w:tcPr>
            <w:tcW w:w="761"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41" w:type="dxa"/>
            <w:vAlign w:val="center"/>
          </w:tcPr>
          <w:p>
            <w:pPr>
              <w:spacing w:line="360" w:lineRule="auto"/>
              <w:jc w:val="center"/>
              <w:rPr>
                <w:rFonts w:ascii="宋体" w:hAnsi="宋体"/>
                <w:color w:val="auto"/>
                <w:szCs w:val="21"/>
                <w:highlight w:val="none"/>
              </w:rPr>
            </w:pPr>
          </w:p>
        </w:tc>
        <w:tc>
          <w:tcPr>
            <w:tcW w:w="1058" w:type="dxa"/>
            <w:vAlign w:val="center"/>
          </w:tcPr>
          <w:p>
            <w:pPr>
              <w:spacing w:line="360" w:lineRule="auto"/>
              <w:jc w:val="center"/>
              <w:rPr>
                <w:rFonts w:ascii="宋体" w:hAnsi="宋体"/>
                <w:color w:val="auto"/>
                <w:szCs w:val="21"/>
                <w:highlight w:val="none"/>
              </w:rPr>
            </w:pPr>
          </w:p>
        </w:tc>
        <w:tc>
          <w:tcPr>
            <w:tcW w:w="668" w:type="dxa"/>
            <w:vAlign w:val="center"/>
          </w:tcPr>
          <w:p>
            <w:pPr>
              <w:spacing w:line="360" w:lineRule="auto"/>
              <w:jc w:val="center"/>
              <w:rPr>
                <w:rFonts w:ascii="宋体" w:hAnsi="宋体"/>
                <w:color w:val="auto"/>
                <w:szCs w:val="21"/>
                <w:highlight w:val="none"/>
              </w:rPr>
            </w:pPr>
          </w:p>
        </w:tc>
        <w:tc>
          <w:tcPr>
            <w:tcW w:w="1017" w:type="dxa"/>
            <w:vAlign w:val="center"/>
          </w:tcPr>
          <w:p>
            <w:pPr>
              <w:spacing w:line="360" w:lineRule="auto"/>
              <w:jc w:val="center"/>
              <w:rPr>
                <w:rFonts w:ascii="宋体" w:hAnsi="宋体"/>
                <w:color w:val="auto"/>
                <w:szCs w:val="21"/>
                <w:highlight w:val="none"/>
              </w:rPr>
            </w:pPr>
          </w:p>
        </w:tc>
        <w:tc>
          <w:tcPr>
            <w:tcW w:w="705" w:type="dxa"/>
            <w:vAlign w:val="center"/>
          </w:tcPr>
          <w:p>
            <w:pPr>
              <w:spacing w:line="360" w:lineRule="auto"/>
              <w:jc w:val="center"/>
              <w:rPr>
                <w:rFonts w:ascii="宋体" w:hAnsi="宋体"/>
                <w:color w:val="auto"/>
                <w:szCs w:val="21"/>
                <w:highlight w:val="none"/>
              </w:rPr>
            </w:pPr>
          </w:p>
        </w:tc>
        <w:tc>
          <w:tcPr>
            <w:tcW w:w="705" w:type="dxa"/>
            <w:vAlign w:val="center"/>
          </w:tcPr>
          <w:p>
            <w:pPr>
              <w:spacing w:line="360" w:lineRule="auto"/>
              <w:jc w:val="center"/>
              <w:rPr>
                <w:rFonts w:ascii="宋体" w:hAnsi="宋体"/>
                <w:color w:val="auto"/>
                <w:szCs w:val="21"/>
                <w:highlight w:val="none"/>
              </w:rPr>
            </w:pPr>
          </w:p>
        </w:tc>
        <w:tc>
          <w:tcPr>
            <w:tcW w:w="1170" w:type="dxa"/>
            <w:vAlign w:val="center"/>
          </w:tcPr>
          <w:p>
            <w:pPr>
              <w:spacing w:line="360" w:lineRule="auto"/>
              <w:jc w:val="center"/>
              <w:rPr>
                <w:rFonts w:ascii="宋体" w:hAnsi="宋体"/>
                <w:color w:val="auto"/>
                <w:szCs w:val="21"/>
                <w:highlight w:val="none"/>
              </w:rPr>
            </w:pPr>
          </w:p>
        </w:tc>
        <w:tc>
          <w:tcPr>
            <w:tcW w:w="867" w:type="dxa"/>
            <w:vAlign w:val="center"/>
          </w:tcPr>
          <w:p>
            <w:pPr>
              <w:spacing w:line="360" w:lineRule="auto"/>
              <w:jc w:val="center"/>
              <w:rPr>
                <w:rFonts w:ascii="宋体" w:hAnsi="宋体"/>
                <w:color w:val="auto"/>
                <w:szCs w:val="21"/>
                <w:highlight w:val="none"/>
              </w:rPr>
            </w:pPr>
          </w:p>
        </w:tc>
        <w:tc>
          <w:tcPr>
            <w:tcW w:w="867" w:type="dxa"/>
            <w:vAlign w:val="center"/>
          </w:tcPr>
          <w:p>
            <w:pPr>
              <w:spacing w:line="360" w:lineRule="auto"/>
              <w:jc w:val="center"/>
              <w:rPr>
                <w:rFonts w:ascii="宋体" w:hAnsi="宋体"/>
                <w:color w:val="auto"/>
                <w:szCs w:val="21"/>
                <w:highlight w:val="none"/>
              </w:rPr>
            </w:pPr>
          </w:p>
        </w:tc>
        <w:tc>
          <w:tcPr>
            <w:tcW w:w="761" w:type="dxa"/>
            <w:vAlign w:val="center"/>
          </w:tcPr>
          <w:p>
            <w:pPr>
              <w:spacing w:line="360" w:lineRule="auto"/>
              <w:jc w:val="center"/>
              <w:rPr>
                <w:rFonts w:ascii="宋体" w:hAnsi="宋体"/>
                <w:color w:val="auto"/>
                <w:szCs w:val="21"/>
                <w:highlight w:val="none"/>
              </w:rPr>
            </w:pPr>
          </w:p>
        </w:tc>
      </w:tr>
    </w:tbl>
    <w:p>
      <w:pPr>
        <w:spacing w:before="120" w:beforeLines="50" w:after="240" w:afterLines="100" w:line="360" w:lineRule="auto"/>
        <w:outlineLvl w:val="3"/>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附表二：拟配备本工程的试验和检测仪器设备表</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064"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仪器设备</w:t>
            </w:r>
          </w:p>
          <w:p>
            <w:pPr>
              <w:spacing w:line="360" w:lineRule="auto"/>
              <w:jc w:val="center"/>
              <w:rPr>
                <w:rFonts w:ascii="宋体" w:hAnsi="宋体"/>
                <w:color w:val="auto"/>
                <w:szCs w:val="21"/>
                <w:highlight w:val="none"/>
              </w:rPr>
            </w:pPr>
            <w:r>
              <w:rPr>
                <w:rFonts w:hint="eastAsia" w:ascii="宋体" w:hAnsi="宋体"/>
                <w:color w:val="auto"/>
                <w:szCs w:val="21"/>
                <w:highlight w:val="none"/>
              </w:rPr>
              <w:t>名    称</w:t>
            </w:r>
          </w:p>
        </w:tc>
        <w:tc>
          <w:tcPr>
            <w:tcW w:w="672"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型号</w:t>
            </w:r>
          </w:p>
          <w:p>
            <w:pPr>
              <w:spacing w:line="360" w:lineRule="auto"/>
              <w:jc w:val="center"/>
              <w:rPr>
                <w:rFonts w:ascii="宋体" w:hAnsi="宋体"/>
                <w:color w:val="auto"/>
                <w:szCs w:val="21"/>
                <w:highlight w:val="none"/>
              </w:rPr>
            </w:pPr>
            <w:r>
              <w:rPr>
                <w:rFonts w:hint="eastAsia" w:ascii="宋体" w:hAnsi="宋体"/>
                <w:color w:val="auto"/>
                <w:szCs w:val="21"/>
                <w:highlight w:val="none"/>
              </w:rPr>
              <w:t>规格</w:t>
            </w:r>
          </w:p>
        </w:tc>
        <w:tc>
          <w:tcPr>
            <w:tcW w:w="1022"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数  量</w:t>
            </w:r>
          </w:p>
        </w:tc>
        <w:tc>
          <w:tcPr>
            <w:tcW w:w="709"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国别</w:t>
            </w:r>
          </w:p>
          <w:p>
            <w:pPr>
              <w:spacing w:line="360" w:lineRule="auto"/>
              <w:jc w:val="center"/>
              <w:rPr>
                <w:rFonts w:ascii="宋体" w:hAnsi="宋体"/>
                <w:color w:val="auto"/>
                <w:szCs w:val="21"/>
                <w:highlight w:val="none"/>
              </w:rPr>
            </w:pPr>
            <w:r>
              <w:rPr>
                <w:rFonts w:hint="eastAsia" w:ascii="宋体" w:hAnsi="宋体"/>
                <w:color w:val="auto"/>
                <w:szCs w:val="21"/>
                <w:highlight w:val="none"/>
              </w:rPr>
              <w:t>产地</w:t>
            </w:r>
          </w:p>
        </w:tc>
        <w:tc>
          <w:tcPr>
            <w:tcW w:w="709"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制造</w:t>
            </w:r>
          </w:p>
          <w:p>
            <w:pPr>
              <w:spacing w:line="360" w:lineRule="auto"/>
              <w:jc w:val="center"/>
              <w:rPr>
                <w:rFonts w:ascii="宋体" w:hAnsi="宋体"/>
                <w:color w:val="auto"/>
                <w:szCs w:val="21"/>
                <w:highlight w:val="none"/>
              </w:rPr>
            </w:pPr>
            <w:r>
              <w:rPr>
                <w:rFonts w:hint="eastAsia" w:ascii="宋体" w:hAnsi="宋体"/>
                <w:color w:val="auto"/>
                <w:szCs w:val="21"/>
                <w:highlight w:val="none"/>
              </w:rPr>
              <w:t>年份</w:t>
            </w:r>
          </w:p>
        </w:tc>
        <w:tc>
          <w:tcPr>
            <w:tcW w:w="117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已使用台</w:t>
            </w:r>
          </w:p>
          <w:p>
            <w:pPr>
              <w:spacing w:line="360" w:lineRule="auto"/>
              <w:jc w:val="center"/>
              <w:rPr>
                <w:rFonts w:ascii="宋体" w:hAnsi="宋体"/>
                <w:color w:val="auto"/>
                <w:szCs w:val="21"/>
                <w:highlight w:val="none"/>
              </w:rPr>
            </w:pPr>
            <w:r>
              <w:rPr>
                <w:rFonts w:hint="eastAsia" w:ascii="宋体" w:hAnsi="宋体"/>
                <w:color w:val="auto"/>
                <w:szCs w:val="21"/>
                <w:highlight w:val="none"/>
              </w:rPr>
              <w:t>时    数</w:t>
            </w:r>
          </w:p>
        </w:tc>
        <w:tc>
          <w:tcPr>
            <w:tcW w:w="1659"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用  途</w:t>
            </w:r>
          </w:p>
        </w:tc>
        <w:tc>
          <w:tcPr>
            <w:tcW w:w="85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hAnsi="宋体"/>
                <w:color w:val="auto"/>
                <w:szCs w:val="21"/>
                <w:highlight w:val="none"/>
              </w:rPr>
            </w:pPr>
          </w:p>
        </w:tc>
        <w:tc>
          <w:tcPr>
            <w:tcW w:w="1064" w:type="dxa"/>
            <w:vAlign w:val="center"/>
          </w:tcPr>
          <w:p>
            <w:pPr>
              <w:spacing w:line="360" w:lineRule="auto"/>
              <w:jc w:val="center"/>
              <w:rPr>
                <w:rFonts w:ascii="宋体" w:hAnsi="宋体"/>
                <w:color w:val="auto"/>
                <w:szCs w:val="21"/>
                <w:highlight w:val="none"/>
              </w:rPr>
            </w:pPr>
          </w:p>
        </w:tc>
        <w:tc>
          <w:tcPr>
            <w:tcW w:w="67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709" w:type="dxa"/>
            <w:vAlign w:val="center"/>
          </w:tcPr>
          <w:p>
            <w:pPr>
              <w:spacing w:line="360" w:lineRule="auto"/>
              <w:jc w:val="center"/>
              <w:rPr>
                <w:rFonts w:ascii="宋体" w:hAnsi="宋体"/>
                <w:color w:val="auto"/>
                <w:szCs w:val="21"/>
                <w:highlight w:val="none"/>
              </w:rPr>
            </w:pPr>
          </w:p>
        </w:tc>
        <w:tc>
          <w:tcPr>
            <w:tcW w:w="709" w:type="dxa"/>
            <w:vAlign w:val="center"/>
          </w:tcPr>
          <w:p>
            <w:pPr>
              <w:spacing w:line="360" w:lineRule="auto"/>
              <w:jc w:val="center"/>
              <w:rPr>
                <w:rFonts w:ascii="宋体" w:hAnsi="宋体"/>
                <w:color w:val="auto"/>
                <w:szCs w:val="21"/>
                <w:highlight w:val="none"/>
              </w:rPr>
            </w:pPr>
          </w:p>
        </w:tc>
        <w:tc>
          <w:tcPr>
            <w:tcW w:w="1176" w:type="dxa"/>
            <w:vAlign w:val="center"/>
          </w:tcPr>
          <w:p>
            <w:pPr>
              <w:spacing w:line="360" w:lineRule="auto"/>
              <w:jc w:val="center"/>
              <w:rPr>
                <w:rFonts w:ascii="宋体" w:hAnsi="宋体"/>
                <w:color w:val="auto"/>
                <w:szCs w:val="21"/>
                <w:highlight w:val="none"/>
              </w:rPr>
            </w:pPr>
          </w:p>
        </w:tc>
        <w:tc>
          <w:tcPr>
            <w:tcW w:w="1659" w:type="dxa"/>
            <w:vAlign w:val="center"/>
          </w:tcPr>
          <w:p>
            <w:pPr>
              <w:spacing w:line="360" w:lineRule="auto"/>
              <w:jc w:val="center"/>
              <w:rPr>
                <w:rFonts w:ascii="宋体" w:hAnsi="宋体"/>
                <w:color w:val="auto"/>
                <w:szCs w:val="21"/>
                <w:highlight w:val="none"/>
              </w:rPr>
            </w:pPr>
          </w:p>
        </w:tc>
        <w:tc>
          <w:tcPr>
            <w:tcW w:w="850"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hAnsi="宋体"/>
                <w:color w:val="auto"/>
                <w:szCs w:val="21"/>
                <w:highlight w:val="none"/>
              </w:rPr>
            </w:pPr>
          </w:p>
        </w:tc>
        <w:tc>
          <w:tcPr>
            <w:tcW w:w="1064" w:type="dxa"/>
            <w:vAlign w:val="center"/>
          </w:tcPr>
          <w:p>
            <w:pPr>
              <w:spacing w:line="360" w:lineRule="auto"/>
              <w:jc w:val="center"/>
              <w:rPr>
                <w:rFonts w:ascii="宋体" w:hAnsi="宋体"/>
                <w:color w:val="auto"/>
                <w:szCs w:val="21"/>
                <w:highlight w:val="none"/>
              </w:rPr>
            </w:pPr>
          </w:p>
        </w:tc>
        <w:tc>
          <w:tcPr>
            <w:tcW w:w="67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709" w:type="dxa"/>
            <w:vAlign w:val="center"/>
          </w:tcPr>
          <w:p>
            <w:pPr>
              <w:spacing w:line="360" w:lineRule="auto"/>
              <w:jc w:val="center"/>
              <w:rPr>
                <w:rFonts w:ascii="宋体" w:hAnsi="宋体"/>
                <w:color w:val="auto"/>
                <w:szCs w:val="21"/>
                <w:highlight w:val="none"/>
              </w:rPr>
            </w:pPr>
          </w:p>
        </w:tc>
        <w:tc>
          <w:tcPr>
            <w:tcW w:w="709" w:type="dxa"/>
            <w:vAlign w:val="center"/>
          </w:tcPr>
          <w:p>
            <w:pPr>
              <w:spacing w:line="360" w:lineRule="auto"/>
              <w:jc w:val="center"/>
              <w:rPr>
                <w:rFonts w:ascii="宋体" w:hAnsi="宋体"/>
                <w:color w:val="auto"/>
                <w:szCs w:val="21"/>
                <w:highlight w:val="none"/>
              </w:rPr>
            </w:pPr>
          </w:p>
        </w:tc>
        <w:tc>
          <w:tcPr>
            <w:tcW w:w="1176" w:type="dxa"/>
            <w:vAlign w:val="center"/>
          </w:tcPr>
          <w:p>
            <w:pPr>
              <w:spacing w:line="360" w:lineRule="auto"/>
              <w:jc w:val="center"/>
              <w:rPr>
                <w:rFonts w:ascii="宋体" w:hAnsi="宋体"/>
                <w:color w:val="auto"/>
                <w:szCs w:val="21"/>
                <w:highlight w:val="none"/>
              </w:rPr>
            </w:pPr>
          </w:p>
        </w:tc>
        <w:tc>
          <w:tcPr>
            <w:tcW w:w="1659" w:type="dxa"/>
            <w:vAlign w:val="center"/>
          </w:tcPr>
          <w:p>
            <w:pPr>
              <w:spacing w:line="360" w:lineRule="auto"/>
              <w:jc w:val="center"/>
              <w:rPr>
                <w:rFonts w:ascii="宋体" w:hAnsi="宋体"/>
                <w:color w:val="auto"/>
                <w:szCs w:val="21"/>
                <w:highlight w:val="none"/>
              </w:rPr>
            </w:pPr>
          </w:p>
        </w:tc>
        <w:tc>
          <w:tcPr>
            <w:tcW w:w="850"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hAnsi="宋体"/>
                <w:color w:val="auto"/>
                <w:szCs w:val="21"/>
                <w:highlight w:val="none"/>
              </w:rPr>
            </w:pPr>
          </w:p>
        </w:tc>
        <w:tc>
          <w:tcPr>
            <w:tcW w:w="1064" w:type="dxa"/>
            <w:vAlign w:val="center"/>
          </w:tcPr>
          <w:p>
            <w:pPr>
              <w:spacing w:line="360" w:lineRule="auto"/>
              <w:jc w:val="center"/>
              <w:rPr>
                <w:rFonts w:ascii="宋体" w:hAnsi="宋体"/>
                <w:color w:val="auto"/>
                <w:szCs w:val="21"/>
                <w:highlight w:val="none"/>
              </w:rPr>
            </w:pPr>
          </w:p>
        </w:tc>
        <w:tc>
          <w:tcPr>
            <w:tcW w:w="67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709" w:type="dxa"/>
            <w:vAlign w:val="center"/>
          </w:tcPr>
          <w:p>
            <w:pPr>
              <w:spacing w:line="360" w:lineRule="auto"/>
              <w:jc w:val="center"/>
              <w:rPr>
                <w:rFonts w:ascii="宋体" w:hAnsi="宋体"/>
                <w:color w:val="auto"/>
                <w:szCs w:val="21"/>
                <w:highlight w:val="none"/>
              </w:rPr>
            </w:pPr>
          </w:p>
        </w:tc>
        <w:tc>
          <w:tcPr>
            <w:tcW w:w="709" w:type="dxa"/>
            <w:vAlign w:val="center"/>
          </w:tcPr>
          <w:p>
            <w:pPr>
              <w:spacing w:line="360" w:lineRule="auto"/>
              <w:jc w:val="center"/>
              <w:rPr>
                <w:rFonts w:ascii="宋体" w:hAnsi="宋体"/>
                <w:color w:val="auto"/>
                <w:szCs w:val="21"/>
                <w:highlight w:val="none"/>
              </w:rPr>
            </w:pPr>
          </w:p>
        </w:tc>
        <w:tc>
          <w:tcPr>
            <w:tcW w:w="1176" w:type="dxa"/>
            <w:vAlign w:val="center"/>
          </w:tcPr>
          <w:p>
            <w:pPr>
              <w:spacing w:line="360" w:lineRule="auto"/>
              <w:jc w:val="center"/>
              <w:rPr>
                <w:rFonts w:ascii="宋体" w:hAnsi="宋体"/>
                <w:color w:val="auto"/>
                <w:szCs w:val="21"/>
                <w:highlight w:val="none"/>
              </w:rPr>
            </w:pPr>
          </w:p>
        </w:tc>
        <w:tc>
          <w:tcPr>
            <w:tcW w:w="1659" w:type="dxa"/>
            <w:vAlign w:val="center"/>
          </w:tcPr>
          <w:p>
            <w:pPr>
              <w:spacing w:line="360" w:lineRule="auto"/>
              <w:jc w:val="center"/>
              <w:rPr>
                <w:rFonts w:ascii="宋体" w:hAnsi="宋体"/>
                <w:color w:val="auto"/>
                <w:szCs w:val="21"/>
                <w:highlight w:val="none"/>
              </w:rPr>
            </w:pPr>
          </w:p>
        </w:tc>
        <w:tc>
          <w:tcPr>
            <w:tcW w:w="850"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hAnsi="宋体"/>
                <w:color w:val="auto"/>
                <w:szCs w:val="21"/>
                <w:highlight w:val="none"/>
              </w:rPr>
            </w:pPr>
          </w:p>
        </w:tc>
        <w:tc>
          <w:tcPr>
            <w:tcW w:w="1064" w:type="dxa"/>
            <w:vAlign w:val="center"/>
          </w:tcPr>
          <w:p>
            <w:pPr>
              <w:spacing w:line="360" w:lineRule="auto"/>
              <w:jc w:val="center"/>
              <w:rPr>
                <w:rFonts w:ascii="宋体" w:hAnsi="宋体"/>
                <w:color w:val="auto"/>
                <w:szCs w:val="21"/>
                <w:highlight w:val="none"/>
              </w:rPr>
            </w:pPr>
          </w:p>
        </w:tc>
        <w:tc>
          <w:tcPr>
            <w:tcW w:w="67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709" w:type="dxa"/>
            <w:vAlign w:val="center"/>
          </w:tcPr>
          <w:p>
            <w:pPr>
              <w:spacing w:line="360" w:lineRule="auto"/>
              <w:jc w:val="center"/>
              <w:rPr>
                <w:rFonts w:ascii="宋体" w:hAnsi="宋体"/>
                <w:color w:val="auto"/>
                <w:szCs w:val="21"/>
                <w:highlight w:val="none"/>
              </w:rPr>
            </w:pPr>
          </w:p>
        </w:tc>
        <w:tc>
          <w:tcPr>
            <w:tcW w:w="709" w:type="dxa"/>
            <w:vAlign w:val="center"/>
          </w:tcPr>
          <w:p>
            <w:pPr>
              <w:spacing w:line="360" w:lineRule="auto"/>
              <w:jc w:val="center"/>
              <w:rPr>
                <w:rFonts w:ascii="宋体" w:hAnsi="宋体"/>
                <w:color w:val="auto"/>
                <w:szCs w:val="21"/>
                <w:highlight w:val="none"/>
              </w:rPr>
            </w:pPr>
          </w:p>
        </w:tc>
        <w:tc>
          <w:tcPr>
            <w:tcW w:w="1176" w:type="dxa"/>
            <w:vAlign w:val="center"/>
          </w:tcPr>
          <w:p>
            <w:pPr>
              <w:spacing w:line="360" w:lineRule="auto"/>
              <w:jc w:val="center"/>
              <w:rPr>
                <w:rFonts w:ascii="宋体" w:hAnsi="宋体"/>
                <w:color w:val="auto"/>
                <w:szCs w:val="21"/>
                <w:highlight w:val="none"/>
              </w:rPr>
            </w:pPr>
          </w:p>
        </w:tc>
        <w:tc>
          <w:tcPr>
            <w:tcW w:w="1659" w:type="dxa"/>
            <w:vAlign w:val="center"/>
          </w:tcPr>
          <w:p>
            <w:pPr>
              <w:spacing w:line="360" w:lineRule="auto"/>
              <w:jc w:val="center"/>
              <w:rPr>
                <w:rFonts w:ascii="宋体" w:hAnsi="宋体"/>
                <w:color w:val="auto"/>
                <w:szCs w:val="21"/>
                <w:highlight w:val="none"/>
              </w:rPr>
            </w:pPr>
          </w:p>
        </w:tc>
        <w:tc>
          <w:tcPr>
            <w:tcW w:w="850"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hAnsi="宋体"/>
                <w:color w:val="auto"/>
                <w:szCs w:val="21"/>
                <w:highlight w:val="none"/>
              </w:rPr>
            </w:pPr>
          </w:p>
        </w:tc>
        <w:tc>
          <w:tcPr>
            <w:tcW w:w="1064" w:type="dxa"/>
            <w:vAlign w:val="center"/>
          </w:tcPr>
          <w:p>
            <w:pPr>
              <w:spacing w:line="360" w:lineRule="auto"/>
              <w:jc w:val="center"/>
              <w:rPr>
                <w:rFonts w:ascii="宋体" w:hAnsi="宋体"/>
                <w:color w:val="auto"/>
                <w:szCs w:val="21"/>
                <w:highlight w:val="none"/>
              </w:rPr>
            </w:pPr>
          </w:p>
        </w:tc>
        <w:tc>
          <w:tcPr>
            <w:tcW w:w="67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709" w:type="dxa"/>
            <w:vAlign w:val="center"/>
          </w:tcPr>
          <w:p>
            <w:pPr>
              <w:spacing w:line="360" w:lineRule="auto"/>
              <w:jc w:val="center"/>
              <w:rPr>
                <w:rFonts w:ascii="宋体" w:hAnsi="宋体"/>
                <w:color w:val="auto"/>
                <w:szCs w:val="21"/>
                <w:highlight w:val="none"/>
              </w:rPr>
            </w:pPr>
          </w:p>
        </w:tc>
        <w:tc>
          <w:tcPr>
            <w:tcW w:w="709" w:type="dxa"/>
            <w:vAlign w:val="center"/>
          </w:tcPr>
          <w:p>
            <w:pPr>
              <w:spacing w:line="360" w:lineRule="auto"/>
              <w:jc w:val="center"/>
              <w:rPr>
                <w:rFonts w:ascii="宋体" w:hAnsi="宋体"/>
                <w:color w:val="auto"/>
                <w:szCs w:val="21"/>
                <w:highlight w:val="none"/>
              </w:rPr>
            </w:pPr>
          </w:p>
        </w:tc>
        <w:tc>
          <w:tcPr>
            <w:tcW w:w="1176" w:type="dxa"/>
            <w:vAlign w:val="center"/>
          </w:tcPr>
          <w:p>
            <w:pPr>
              <w:spacing w:line="360" w:lineRule="auto"/>
              <w:jc w:val="center"/>
              <w:rPr>
                <w:rFonts w:ascii="宋体" w:hAnsi="宋体"/>
                <w:color w:val="auto"/>
                <w:szCs w:val="21"/>
                <w:highlight w:val="none"/>
              </w:rPr>
            </w:pPr>
          </w:p>
        </w:tc>
        <w:tc>
          <w:tcPr>
            <w:tcW w:w="1659" w:type="dxa"/>
            <w:vAlign w:val="center"/>
          </w:tcPr>
          <w:p>
            <w:pPr>
              <w:spacing w:line="360" w:lineRule="auto"/>
              <w:jc w:val="center"/>
              <w:rPr>
                <w:rFonts w:ascii="宋体" w:hAnsi="宋体"/>
                <w:color w:val="auto"/>
                <w:szCs w:val="21"/>
                <w:highlight w:val="none"/>
              </w:rPr>
            </w:pPr>
          </w:p>
        </w:tc>
        <w:tc>
          <w:tcPr>
            <w:tcW w:w="850"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hAnsi="宋体"/>
                <w:color w:val="auto"/>
                <w:szCs w:val="21"/>
                <w:highlight w:val="none"/>
              </w:rPr>
            </w:pPr>
          </w:p>
        </w:tc>
        <w:tc>
          <w:tcPr>
            <w:tcW w:w="1064" w:type="dxa"/>
            <w:vAlign w:val="center"/>
          </w:tcPr>
          <w:p>
            <w:pPr>
              <w:spacing w:line="360" w:lineRule="auto"/>
              <w:jc w:val="center"/>
              <w:rPr>
                <w:rFonts w:ascii="宋体" w:hAnsi="宋体"/>
                <w:color w:val="auto"/>
                <w:szCs w:val="21"/>
                <w:highlight w:val="none"/>
              </w:rPr>
            </w:pPr>
          </w:p>
        </w:tc>
        <w:tc>
          <w:tcPr>
            <w:tcW w:w="67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709" w:type="dxa"/>
            <w:vAlign w:val="center"/>
          </w:tcPr>
          <w:p>
            <w:pPr>
              <w:spacing w:line="360" w:lineRule="auto"/>
              <w:jc w:val="center"/>
              <w:rPr>
                <w:rFonts w:ascii="宋体" w:hAnsi="宋体"/>
                <w:color w:val="auto"/>
                <w:szCs w:val="21"/>
                <w:highlight w:val="none"/>
              </w:rPr>
            </w:pPr>
          </w:p>
        </w:tc>
        <w:tc>
          <w:tcPr>
            <w:tcW w:w="709" w:type="dxa"/>
            <w:vAlign w:val="center"/>
          </w:tcPr>
          <w:p>
            <w:pPr>
              <w:spacing w:line="360" w:lineRule="auto"/>
              <w:jc w:val="center"/>
              <w:rPr>
                <w:rFonts w:ascii="宋体" w:hAnsi="宋体"/>
                <w:color w:val="auto"/>
                <w:szCs w:val="21"/>
                <w:highlight w:val="none"/>
              </w:rPr>
            </w:pPr>
          </w:p>
        </w:tc>
        <w:tc>
          <w:tcPr>
            <w:tcW w:w="1176" w:type="dxa"/>
            <w:vAlign w:val="center"/>
          </w:tcPr>
          <w:p>
            <w:pPr>
              <w:spacing w:line="360" w:lineRule="auto"/>
              <w:jc w:val="center"/>
              <w:rPr>
                <w:rFonts w:ascii="宋体" w:hAnsi="宋体"/>
                <w:color w:val="auto"/>
                <w:szCs w:val="21"/>
                <w:highlight w:val="none"/>
              </w:rPr>
            </w:pPr>
          </w:p>
        </w:tc>
        <w:tc>
          <w:tcPr>
            <w:tcW w:w="1659" w:type="dxa"/>
            <w:vAlign w:val="center"/>
          </w:tcPr>
          <w:p>
            <w:pPr>
              <w:spacing w:line="360" w:lineRule="auto"/>
              <w:jc w:val="center"/>
              <w:rPr>
                <w:rFonts w:ascii="宋体" w:hAnsi="宋体"/>
                <w:color w:val="auto"/>
                <w:szCs w:val="21"/>
                <w:highlight w:val="none"/>
              </w:rPr>
            </w:pPr>
          </w:p>
        </w:tc>
        <w:tc>
          <w:tcPr>
            <w:tcW w:w="850"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hAnsi="宋体"/>
                <w:color w:val="auto"/>
                <w:szCs w:val="21"/>
                <w:highlight w:val="none"/>
              </w:rPr>
            </w:pPr>
          </w:p>
        </w:tc>
        <w:tc>
          <w:tcPr>
            <w:tcW w:w="1064" w:type="dxa"/>
            <w:vAlign w:val="center"/>
          </w:tcPr>
          <w:p>
            <w:pPr>
              <w:spacing w:line="360" w:lineRule="auto"/>
              <w:jc w:val="center"/>
              <w:rPr>
                <w:rFonts w:ascii="宋体" w:hAnsi="宋体"/>
                <w:color w:val="auto"/>
                <w:szCs w:val="21"/>
                <w:highlight w:val="none"/>
              </w:rPr>
            </w:pPr>
          </w:p>
        </w:tc>
        <w:tc>
          <w:tcPr>
            <w:tcW w:w="67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709" w:type="dxa"/>
            <w:vAlign w:val="center"/>
          </w:tcPr>
          <w:p>
            <w:pPr>
              <w:spacing w:line="360" w:lineRule="auto"/>
              <w:jc w:val="center"/>
              <w:rPr>
                <w:rFonts w:ascii="宋体" w:hAnsi="宋体"/>
                <w:color w:val="auto"/>
                <w:szCs w:val="21"/>
                <w:highlight w:val="none"/>
              </w:rPr>
            </w:pPr>
          </w:p>
        </w:tc>
        <w:tc>
          <w:tcPr>
            <w:tcW w:w="709" w:type="dxa"/>
            <w:vAlign w:val="center"/>
          </w:tcPr>
          <w:p>
            <w:pPr>
              <w:spacing w:line="360" w:lineRule="auto"/>
              <w:jc w:val="center"/>
              <w:rPr>
                <w:rFonts w:ascii="宋体" w:hAnsi="宋体"/>
                <w:color w:val="auto"/>
                <w:szCs w:val="21"/>
                <w:highlight w:val="none"/>
              </w:rPr>
            </w:pPr>
          </w:p>
        </w:tc>
        <w:tc>
          <w:tcPr>
            <w:tcW w:w="1176" w:type="dxa"/>
            <w:vAlign w:val="center"/>
          </w:tcPr>
          <w:p>
            <w:pPr>
              <w:spacing w:line="360" w:lineRule="auto"/>
              <w:jc w:val="center"/>
              <w:rPr>
                <w:rFonts w:ascii="宋体" w:hAnsi="宋体"/>
                <w:color w:val="auto"/>
                <w:szCs w:val="21"/>
                <w:highlight w:val="none"/>
              </w:rPr>
            </w:pPr>
          </w:p>
        </w:tc>
        <w:tc>
          <w:tcPr>
            <w:tcW w:w="1659" w:type="dxa"/>
            <w:vAlign w:val="center"/>
          </w:tcPr>
          <w:p>
            <w:pPr>
              <w:spacing w:line="360" w:lineRule="auto"/>
              <w:jc w:val="center"/>
              <w:rPr>
                <w:rFonts w:ascii="宋体" w:hAnsi="宋体"/>
                <w:color w:val="auto"/>
                <w:szCs w:val="21"/>
                <w:highlight w:val="none"/>
              </w:rPr>
            </w:pPr>
          </w:p>
        </w:tc>
        <w:tc>
          <w:tcPr>
            <w:tcW w:w="850"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hAnsi="宋体"/>
                <w:color w:val="auto"/>
                <w:szCs w:val="21"/>
                <w:highlight w:val="none"/>
              </w:rPr>
            </w:pPr>
          </w:p>
        </w:tc>
        <w:tc>
          <w:tcPr>
            <w:tcW w:w="1064" w:type="dxa"/>
            <w:vAlign w:val="center"/>
          </w:tcPr>
          <w:p>
            <w:pPr>
              <w:spacing w:line="360" w:lineRule="auto"/>
              <w:jc w:val="center"/>
              <w:rPr>
                <w:rFonts w:ascii="宋体" w:hAnsi="宋体"/>
                <w:color w:val="auto"/>
                <w:szCs w:val="21"/>
                <w:highlight w:val="none"/>
              </w:rPr>
            </w:pPr>
          </w:p>
        </w:tc>
        <w:tc>
          <w:tcPr>
            <w:tcW w:w="67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709" w:type="dxa"/>
            <w:vAlign w:val="center"/>
          </w:tcPr>
          <w:p>
            <w:pPr>
              <w:spacing w:line="360" w:lineRule="auto"/>
              <w:jc w:val="center"/>
              <w:rPr>
                <w:rFonts w:ascii="宋体" w:hAnsi="宋体"/>
                <w:color w:val="auto"/>
                <w:szCs w:val="21"/>
                <w:highlight w:val="none"/>
              </w:rPr>
            </w:pPr>
          </w:p>
        </w:tc>
        <w:tc>
          <w:tcPr>
            <w:tcW w:w="709" w:type="dxa"/>
            <w:vAlign w:val="center"/>
          </w:tcPr>
          <w:p>
            <w:pPr>
              <w:spacing w:line="360" w:lineRule="auto"/>
              <w:jc w:val="center"/>
              <w:rPr>
                <w:rFonts w:ascii="宋体" w:hAnsi="宋体"/>
                <w:color w:val="auto"/>
                <w:szCs w:val="21"/>
                <w:highlight w:val="none"/>
              </w:rPr>
            </w:pPr>
          </w:p>
        </w:tc>
        <w:tc>
          <w:tcPr>
            <w:tcW w:w="1176" w:type="dxa"/>
            <w:vAlign w:val="center"/>
          </w:tcPr>
          <w:p>
            <w:pPr>
              <w:spacing w:line="360" w:lineRule="auto"/>
              <w:jc w:val="center"/>
              <w:rPr>
                <w:rFonts w:ascii="宋体" w:hAnsi="宋体"/>
                <w:color w:val="auto"/>
                <w:szCs w:val="21"/>
                <w:highlight w:val="none"/>
              </w:rPr>
            </w:pPr>
          </w:p>
        </w:tc>
        <w:tc>
          <w:tcPr>
            <w:tcW w:w="1659" w:type="dxa"/>
            <w:vAlign w:val="center"/>
          </w:tcPr>
          <w:p>
            <w:pPr>
              <w:spacing w:line="360" w:lineRule="auto"/>
              <w:jc w:val="center"/>
              <w:rPr>
                <w:rFonts w:ascii="宋体" w:hAnsi="宋体"/>
                <w:color w:val="auto"/>
                <w:szCs w:val="21"/>
                <w:highlight w:val="none"/>
              </w:rPr>
            </w:pPr>
          </w:p>
        </w:tc>
        <w:tc>
          <w:tcPr>
            <w:tcW w:w="850"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hAnsi="宋体"/>
                <w:color w:val="auto"/>
                <w:szCs w:val="21"/>
                <w:highlight w:val="none"/>
              </w:rPr>
            </w:pPr>
          </w:p>
        </w:tc>
        <w:tc>
          <w:tcPr>
            <w:tcW w:w="1064" w:type="dxa"/>
            <w:vAlign w:val="center"/>
          </w:tcPr>
          <w:p>
            <w:pPr>
              <w:spacing w:line="360" w:lineRule="auto"/>
              <w:jc w:val="center"/>
              <w:rPr>
                <w:rFonts w:ascii="宋体" w:hAnsi="宋体"/>
                <w:color w:val="auto"/>
                <w:szCs w:val="21"/>
                <w:highlight w:val="none"/>
              </w:rPr>
            </w:pPr>
          </w:p>
        </w:tc>
        <w:tc>
          <w:tcPr>
            <w:tcW w:w="67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709" w:type="dxa"/>
            <w:vAlign w:val="center"/>
          </w:tcPr>
          <w:p>
            <w:pPr>
              <w:spacing w:line="360" w:lineRule="auto"/>
              <w:jc w:val="center"/>
              <w:rPr>
                <w:rFonts w:ascii="宋体" w:hAnsi="宋体"/>
                <w:color w:val="auto"/>
                <w:szCs w:val="21"/>
                <w:highlight w:val="none"/>
              </w:rPr>
            </w:pPr>
          </w:p>
        </w:tc>
        <w:tc>
          <w:tcPr>
            <w:tcW w:w="709" w:type="dxa"/>
            <w:vAlign w:val="center"/>
          </w:tcPr>
          <w:p>
            <w:pPr>
              <w:spacing w:line="360" w:lineRule="auto"/>
              <w:jc w:val="center"/>
              <w:rPr>
                <w:rFonts w:ascii="宋体" w:hAnsi="宋体"/>
                <w:color w:val="auto"/>
                <w:szCs w:val="21"/>
                <w:highlight w:val="none"/>
              </w:rPr>
            </w:pPr>
          </w:p>
        </w:tc>
        <w:tc>
          <w:tcPr>
            <w:tcW w:w="1176" w:type="dxa"/>
            <w:vAlign w:val="center"/>
          </w:tcPr>
          <w:p>
            <w:pPr>
              <w:spacing w:line="360" w:lineRule="auto"/>
              <w:jc w:val="center"/>
              <w:rPr>
                <w:rFonts w:ascii="宋体" w:hAnsi="宋体"/>
                <w:color w:val="auto"/>
                <w:szCs w:val="21"/>
                <w:highlight w:val="none"/>
              </w:rPr>
            </w:pPr>
          </w:p>
        </w:tc>
        <w:tc>
          <w:tcPr>
            <w:tcW w:w="1659" w:type="dxa"/>
            <w:vAlign w:val="center"/>
          </w:tcPr>
          <w:p>
            <w:pPr>
              <w:spacing w:line="360" w:lineRule="auto"/>
              <w:jc w:val="center"/>
              <w:rPr>
                <w:rFonts w:ascii="宋体" w:hAnsi="宋体"/>
                <w:color w:val="auto"/>
                <w:szCs w:val="21"/>
                <w:highlight w:val="none"/>
              </w:rPr>
            </w:pPr>
          </w:p>
        </w:tc>
        <w:tc>
          <w:tcPr>
            <w:tcW w:w="850"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hAnsi="宋体"/>
                <w:color w:val="auto"/>
                <w:szCs w:val="21"/>
                <w:highlight w:val="none"/>
              </w:rPr>
            </w:pPr>
          </w:p>
        </w:tc>
        <w:tc>
          <w:tcPr>
            <w:tcW w:w="1064" w:type="dxa"/>
            <w:vAlign w:val="center"/>
          </w:tcPr>
          <w:p>
            <w:pPr>
              <w:spacing w:line="360" w:lineRule="auto"/>
              <w:jc w:val="center"/>
              <w:rPr>
                <w:rFonts w:ascii="宋体" w:hAnsi="宋体"/>
                <w:color w:val="auto"/>
                <w:szCs w:val="21"/>
                <w:highlight w:val="none"/>
              </w:rPr>
            </w:pPr>
          </w:p>
        </w:tc>
        <w:tc>
          <w:tcPr>
            <w:tcW w:w="67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709" w:type="dxa"/>
            <w:vAlign w:val="center"/>
          </w:tcPr>
          <w:p>
            <w:pPr>
              <w:spacing w:line="360" w:lineRule="auto"/>
              <w:jc w:val="center"/>
              <w:rPr>
                <w:rFonts w:ascii="宋体" w:hAnsi="宋体"/>
                <w:color w:val="auto"/>
                <w:szCs w:val="21"/>
                <w:highlight w:val="none"/>
              </w:rPr>
            </w:pPr>
          </w:p>
        </w:tc>
        <w:tc>
          <w:tcPr>
            <w:tcW w:w="709" w:type="dxa"/>
            <w:vAlign w:val="center"/>
          </w:tcPr>
          <w:p>
            <w:pPr>
              <w:spacing w:line="360" w:lineRule="auto"/>
              <w:jc w:val="center"/>
              <w:rPr>
                <w:rFonts w:ascii="宋体" w:hAnsi="宋体"/>
                <w:color w:val="auto"/>
                <w:szCs w:val="21"/>
                <w:highlight w:val="none"/>
              </w:rPr>
            </w:pPr>
          </w:p>
        </w:tc>
        <w:tc>
          <w:tcPr>
            <w:tcW w:w="1176" w:type="dxa"/>
            <w:vAlign w:val="center"/>
          </w:tcPr>
          <w:p>
            <w:pPr>
              <w:spacing w:line="360" w:lineRule="auto"/>
              <w:jc w:val="center"/>
              <w:rPr>
                <w:rFonts w:ascii="宋体" w:hAnsi="宋体"/>
                <w:color w:val="auto"/>
                <w:szCs w:val="21"/>
                <w:highlight w:val="none"/>
              </w:rPr>
            </w:pPr>
          </w:p>
        </w:tc>
        <w:tc>
          <w:tcPr>
            <w:tcW w:w="1659" w:type="dxa"/>
            <w:vAlign w:val="center"/>
          </w:tcPr>
          <w:p>
            <w:pPr>
              <w:spacing w:line="360" w:lineRule="auto"/>
              <w:jc w:val="center"/>
              <w:rPr>
                <w:rFonts w:ascii="宋体" w:hAnsi="宋体"/>
                <w:color w:val="auto"/>
                <w:szCs w:val="21"/>
                <w:highlight w:val="none"/>
              </w:rPr>
            </w:pPr>
          </w:p>
        </w:tc>
        <w:tc>
          <w:tcPr>
            <w:tcW w:w="850"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hAnsi="宋体"/>
                <w:color w:val="auto"/>
                <w:szCs w:val="21"/>
                <w:highlight w:val="none"/>
              </w:rPr>
            </w:pPr>
          </w:p>
        </w:tc>
        <w:tc>
          <w:tcPr>
            <w:tcW w:w="1064" w:type="dxa"/>
            <w:vAlign w:val="center"/>
          </w:tcPr>
          <w:p>
            <w:pPr>
              <w:spacing w:line="360" w:lineRule="auto"/>
              <w:jc w:val="center"/>
              <w:rPr>
                <w:rFonts w:ascii="宋体" w:hAnsi="宋体"/>
                <w:color w:val="auto"/>
                <w:szCs w:val="21"/>
                <w:highlight w:val="none"/>
              </w:rPr>
            </w:pPr>
          </w:p>
        </w:tc>
        <w:tc>
          <w:tcPr>
            <w:tcW w:w="67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709" w:type="dxa"/>
            <w:vAlign w:val="center"/>
          </w:tcPr>
          <w:p>
            <w:pPr>
              <w:spacing w:line="360" w:lineRule="auto"/>
              <w:jc w:val="center"/>
              <w:rPr>
                <w:rFonts w:ascii="宋体" w:hAnsi="宋体"/>
                <w:color w:val="auto"/>
                <w:szCs w:val="21"/>
                <w:highlight w:val="none"/>
              </w:rPr>
            </w:pPr>
          </w:p>
        </w:tc>
        <w:tc>
          <w:tcPr>
            <w:tcW w:w="709" w:type="dxa"/>
            <w:vAlign w:val="center"/>
          </w:tcPr>
          <w:p>
            <w:pPr>
              <w:spacing w:line="360" w:lineRule="auto"/>
              <w:jc w:val="center"/>
              <w:rPr>
                <w:rFonts w:ascii="宋体" w:hAnsi="宋体"/>
                <w:color w:val="auto"/>
                <w:szCs w:val="21"/>
                <w:highlight w:val="none"/>
              </w:rPr>
            </w:pPr>
          </w:p>
        </w:tc>
        <w:tc>
          <w:tcPr>
            <w:tcW w:w="1176" w:type="dxa"/>
            <w:vAlign w:val="center"/>
          </w:tcPr>
          <w:p>
            <w:pPr>
              <w:spacing w:line="360" w:lineRule="auto"/>
              <w:jc w:val="center"/>
              <w:rPr>
                <w:rFonts w:ascii="宋体" w:hAnsi="宋体"/>
                <w:color w:val="auto"/>
                <w:szCs w:val="21"/>
                <w:highlight w:val="none"/>
              </w:rPr>
            </w:pPr>
          </w:p>
        </w:tc>
        <w:tc>
          <w:tcPr>
            <w:tcW w:w="1659" w:type="dxa"/>
            <w:vAlign w:val="center"/>
          </w:tcPr>
          <w:p>
            <w:pPr>
              <w:spacing w:line="360" w:lineRule="auto"/>
              <w:jc w:val="center"/>
              <w:rPr>
                <w:rFonts w:ascii="宋体" w:hAnsi="宋体"/>
                <w:color w:val="auto"/>
                <w:szCs w:val="21"/>
                <w:highlight w:val="none"/>
              </w:rPr>
            </w:pPr>
          </w:p>
        </w:tc>
        <w:tc>
          <w:tcPr>
            <w:tcW w:w="850"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hAnsi="宋体"/>
                <w:color w:val="auto"/>
                <w:szCs w:val="21"/>
                <w:highlight w:val="none"/>
              </w:rPr>
            </w:pPr>
          </w:p>
        </w:tc>
        <w:tc>
          <w:tcPr>
            <w:tcW w:w="1064" w:type="dxa"/>
            <w:vAlign w:val="center"/>
          </w:tcPr>
          <w:p>
            <w:pPr>
              <w:spacing w:line="360" w:lineRule="auto"/>
              <w:jc w:val="center"/>
              <w:rPr>
                <w:rFonts w:ascii="宋体" w:hAnsi="宋体"/>
                <w:color w:val="auto"/>
                <w:szCs w:val="21"/>
                <w:highlight w:val="none"/>
              </w:rPr>
            </w:pPr>
          </w:p>
        </w:tc>
        <w:tc>
          <w:tcPr>
            <w:tcW w:w="67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709" w:type="dxa"/>
            <w:vAlign w:val="center"/>
          </w:tcPr>
          <w:p>
            <w:pPr>
              <w:spacing w:line="360" w:lineRule="auto"/>
              <w:jc w:val="center"/>
              <w:rPr>
                <w:rFonts w:ascii="宋体" w:hAnsi="宋体"/>
                <w:color w:val="auto"/>
                <w:szCs w:val="21"/>
                <w:highlight w:val="none"/>
              </w:rPr>
            </w:pPr>
          </w:p>
        </w:tc>
        <w:tc>
          <w:tcPr>
            <w:tcW w:w="709" w:type="dxa"/>
            <w:vAlign w:val="center"/>
          </w:tcPr>
          <w:p>
            <w:pPr>
              <w:spacing w:line="360" w:lineRule="auto"/>
              <w:jc w:val="center"/>
              <w:rPr>
                <w:rFonts w:ascii="宋体" w:hAnsi="宋体"/>
                <w:color w:val="auto"/>
                <w:szCs w:val="21"/>
                <w:highlight w:val="none"/>
              </w:rPr>
            </w:pPr>
          </w:p>
        </w:tc>
        <w:tc>
          <w:tcPr>
            <w:tcW w:w="1176" w:type="dxa"/>
            <w:vAlign w:val="center"/>
          </w:tcPr>
          <w:p>
            <w:pPr>
              <w:spacing w:line="360" w:lineRule="auto"/>
              <w:jc w:val="center"/>
              <w:rPr>
                <w:rFonts w:ascii="宋体" w:hAnsi="宋体"/>
                <w:color w:val="auto"/>
                <w:szCs w:val="21"/>
                <w:highlight w:val="none"/>
              </w:rPr>
            </w:pPr>
          </w:p>
        </w:tc>
        <w:tc>
          <w:tcPr>
            <w:tcW w:w="1659" w:type="dxa"/>
            <w:vAlign w:val="center"/>
          </w:tcPr>
          <w:p>
            <w:pPr>
              <w:spacing w:line="360" w:lineRule="auto"/>
              <w:jc w:val="center"/>
              <w:rPr>
                <w:rFonts w:ascii="宋体" w:hAnsi="宋体"/>
                <w:color w:val="auto"/>
                <w:szCs w:val="21"/>
                <w:highlight w:val="none"/>
              </w:rPr>
            </w:pPr>
          </w:p>
        </w:tc>
        <w:tc>
          <w:tcPr>
            <w:tcW w:w="850"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hAnsi="宋体"/>
                <w:color w:val="auto"/>
                <w:szCs w:val="21"/>
                <w:highlight w:val="none"/>
              </w:rPr>
            </w:pPr>
          </w:p>
        </w:tc>
        <w:tc>
          <w:tcPr>
            <w:tcW w:w="1064" w:type="dxa"/>
            <w:vAlign w:val="center"/>
          </w:tcPr>
          <w:p>
            <w:pPr>
              <w:spacing w:line="360" w:lineRule="auto"/>
              <w:jc w:val="center"/>
              <w:rPr>
                <w:rFonts w:ascii="宋体" w:hAnsi="宋体"/>
                <w:color w:val="auto"/>
                <w:szCs w:val="21"/>
                <w:highlight w:val="none"/>
              </w:rPr>
            </w:pPr>
          </w:p>
        </w:tc>
        <w:tc>
          <w:tcPr>
            <w:tcW w:w="67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709" w:type="dxa"/>
            <w:vAlign w:val="center"/>
          </w:tcPr>
          <w:p>
            <w:pPr>
              <w:spacing w:line="360" w:lineRule="auto"/>
              <w:jc w:val="center"/>
              <w:rPr>
                <w:rFonts w:ascii="宋体" w:hAnsi="宋体"/>
                <w:color w:val="auto"/>
                <w:szCs w:val="21"/>
                <w:highlight w:val="none"/>
              </w:rPr>
            </w:pPr>
          </w:p>
        </w:tc>
        <w:tc>
          <w:tcPr>
            <w:tcW w:w="709" w:type="dxa"/>
            <w:vAlign w:val="center"/>
          </w:tcPr>
          <w:p>
            <w:pPr>
              <w:spacing w:line="360" w:lineRule="auto"/>
              <w:jc w:val="center"/>
              <w:rPr>
                <w:rFonts w:ascii="宋体" w:hAnsi="宋体"/>
                <w:color w:val="auto"/>
                <w:szCs w:val="21"/>
                <w:highlight w:val="none"/>
              </w:rPr>
            </w:pPr>
          </w:p>
        </w:tc>
        <w:tc>
          <w:tcPr>
            <w:tcW w:w="1176" w:type="dxa"/>
            <w:vAlign w:val="center"/>
          </w:tcPr>
          <w:p>
            <w:pPr>
              <w:spacing w:line="360" w:lineRule="auto"/>
              <w:jc w:val="center"/>
              <w:rPr>
                <w:rFonts w:ascii="宋体" w:hAnsi="宋体"/>
                <w:color w:val="auto"/>
                <w:szCs w:val="21"/>
                <w:highlight w:val="none"/>
              </w:rPr>
            </w:pPr>
          </w:p>
        </w:tc>
        <w:tc>
          <w:tcPr>
            <w:tcW w:w="1659" w:type="dxa"/>
            <w:vAlign w:val="center"/>
          </w:tcPr>
          <w:p>
            <w:pPr>
              <w:spacing w:line="360" w:lineRule="auto"/>
              <w:jc w:val="center"/>
              <w:rPr>
                <w:rFonts w:ascii="宋体" w:hAnsi="宋体"/>
                <w:color w:val="auto"/>
                <w:szCs w:val="21"/>
                <w:highlight w:val="none"/>
              </w:rPr>
            </w:pPr>
          </w:p>
        </w:tc>
        <w:tc>
          <w:tcPr>
            <w:tcW w:w="850"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hAnsi="宋体"/>
                <w:color w:val="auto"/>
                <w:szCs w:val="21"/>
                <w:highlight w:val="none"/>
              </w:rPr>
            </w:pPr>
          </w:p>
        </w:tc>
        <w:tc>
          <w:tcPr>
            <w:tcW w:w="1064" w:type="dxa"/>
            <w:vAlign w:val="center"/>
          </w:tcPr>
          <w:p>
            <w:pPr>
              <w:spacing w:line="360" w:lineRule="auto"/>
              <w:jc w:val="center"/>
              <w:rPr>
                <w:rFonts w:ascii="宋体" w:hAnsi="宋体"/>
                <w:color w:val="auto"/>
                <w:szCs w:val="21"/>
                <w:highlight w:val="none"/>
              </w:rPr>
            </w:pPr>
          </w:p>
        </w:tc>
        <w:tc>
          <w:tcPr>
            <w:tcW w:w="67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709" w:type="dxa"/>
            <w:vAlign w:val="center"/>
          </w:tcPr>
          <w:p>
            <w:pPr>
              <w:spacing w:line="360" w:lineRule="auto"/>
              <w:jc w:val="center"/>
              <w:rPr>
                <w:rFonts w:ascii="宋体" w:hAnsi="宋体"/>
                <w:color w:val="auto"/>
                <w:szCs w:val="21"/>
                <w:highlight w:val="none"/>
              </w:rPr>
            </w:pPr>
          </w:p>
        </w:tc>
        <w:tc>
          <w:tcPr>
            <w:tcW w:w="709" w:type="dxa"/>
            <w:vAlign w:val="center"/>
          </w:tcPr>
          <w:p>
            <w:pPr>
              <w:spacing w:line="360" w:lineRule="auto"/>
              <w:jc w:val="center"/>
              <w:rPr>
                <w:rFonts w:ascii="宋体" w:hAnsi="宋体"/>
                <w:color w:val="auto"/>
                <w:szCs w:val="21"/>
                <w:highlight w:val="none"/>
              </w:rPr>
            </w:pPr>
          </w:p>
        </w:tc>
        <w:tc>
          <w:tcPr>
            <w:tcW w:w="1176" w:type="dxa"/>
            <w:vAlign w:val="center"/>
          </w:tcPr>
          <w:p>
            <w:pPr>
              <w:spacing w:line="360" w:lineRule="auto"/>
              <w:jc w:val="center"/>
              <w:rPr>
                <w:rFonts w:ascii="宋体" w:hAnsi="宋体"/>
                <w:color w:val="auto"/>
                <w:szCs w:val="21"/>
                <w:highlight w:val="none"/>
              </w:rPr>
            </w:pPr>
          </w:p>
        </w:tc>
        <w:tc>
          <w:tcPr>
            <w:tcW w:w="1659" w:type="dxa"/>
            <w:vAlign w:val="center"/>
          </w:tcPr>
          <w:p>
            <w:pPr>
              <w:spacing w:line="360" w:lineRule="auto"/>
              <w:jc w:val="center"/>
              <w:rPr>
                <w:rFonts w:ascii="宋体" w:hAnsi="宋体"/>
                <w:color w:val="auto"/>
                <w:szCs w:val="21"/>
                <w:highlight w:val="none"/>
              </w:rPr>
            </w:pPr>
          </w:p>
        </w:tc>
        <w:tc>
          <w:tcPr>
            <w:tcW w:w="850"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hAnsi="宋体"/>
                <w:color w:val="auto"/>
                <w:szCs w:val="21"/>
                <w:highlight w:val="none"/>
              </w:rPr>
            </w:pPr>
          </w:p>
        </w:tc>
        <w:tc>
          <w:tcPr>
            <w:tcW w:w="1064" w:type="dxa"/>
            <w:vAlign w:val="center"/>
          </w:tcPr>
          <w:p>
            <w:pPr>
              <w:spacing w:line="360" w:lineRule="auto"/>
              <w:jc w:val="center"/>
              <w:rPr>
                <w:rFonts w:ascii="宋体" w:hAnsi="宋体"/>
                <w:color w:val="auto"/>
                <w:szCs w:val="21"/>
                <w:highlight w:val="none"/>
              </w:rPr>
            </w:pPr>
          </w:p>
        </w:tc>
        <w:tc>
          <w:tcPr>
            <w:tcW w:w="67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709" w:type="dxa"/>
            <w:vAlign w:val="center"/>
          </w:tcPr>
          <w:p>
            <w:pPr>
              <w:spacing w:line="360" w:lineRule="auto"/>
              <w:jc w:val="center"/>
              <w:rPr>
                <w:rFonts w:ascii="宋体" w:hAnsi="宋体"/>
                <w:color w:val="auto"/>
                <w:szCs w:val="21"/>
                <w:highlight w:val="none"/>
              </w:rPr>
            </w:pPr>
          </w:p>
        </w:tc>
        <w:tc>
          <w:tcPr>
            <w:tcW w:w="709" w:type="dxa"/>
            <w:vAlign w:val="center"/>
          </w:tcPr>
          <w:p>
            <w:pPr>
              <w:spacing w:line="360" w:lineRule="auto"/>
              <w:jc w:val="center"/>
              <w:rPr>
                <w:rFonts w:ascii="宋体" w:hAnsi="宋体"/>
                <w:color w:val="auto"/>
                <w:szCs w:val="21"/>
                <w:highlight w:val="none"/>
              </w:rPr>
            </w:pPr>
          </w:p>
        </w:tc>
        <w:tc>
          <w:tcPr>
            <w:tcW w:w="1176" w:type="dxa"/>
            <w:vAlign w:val="center"/>
          </w:tcPr>
          <w:p>
            <w:pPr>
              <w:spacing w:line="360" w:lineRule="auto"/>
              <w:jc w:val="center"/>
              <w:rPr>
                <w:rFonts w:ascii="宋体" w:hAnsi="宋体"/>
                <w:color w:val="auto"/>
                <w:szCs w:val="21"/>
                <w:highlight w:val="none"/>
              </w:rPr>
            </w:pPr>
          </w:p>
        </w:tc>
        <w:tc>
          <w:tcPr>
            <w:tcW w:w="1659" w:type="dxa"/>
            <w:vAlign w:val="center"/>
          </w:tcPr>
          <w:p>
            <w:pPr>
              <w:spacing w:line="360" w:lineRule="auto"/>
              <w:jc w:val="center"/>
              <w:rPr>
                <w:rFonts w:ascii="宋体" w:hAnsi="宋体"/>
                <w:color w:val="auto"/>
                <w:szCs w:val="21"/>
                <w:highlight w:val="none"/>
              </w:rPr>
            </w:pPr>
          </w:p>
        </w:tc>
        <w:tc>
          <w:tcPr>
            <w:tcW w:w="850"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hAnsi="宋体"/>
                <w:color w:val="auto"/>
                <w:szCs w:val="21"/>
                <w:highlight w:val="none"/>
              </w:rPr>
            </w:pPr>
          </w:p>
        </w:tc>
        <w:tc>
          <w:tcPr>
            <w:tcW w:w="1064" w:type="dxa"/>
            <w:vAlign w:val="center"/>
          </w:tcPr>
          <w:p>
            <w:pPr>
              <w:spacing w:line="360" w:lineRule="auto"/>
              <w:jc w:val="center"/>
              <w:rPr>
                <w:rFonts w:ascii="宋体" w:hAnsi="宋体"/>
                <w:color w:val="auto"/>
                <w:szCs w:val="21"/>
                <w:highlight w:val="none"/>
              </w:rPr>
            </w:pPr>
          </w:p>
        </w:tc>
        <w:tc>
          <w:tcPr>
            <w:tcW w:w="67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709" w:type="dxa"/>
            <w:vAlign w:val="center"/>
          </w:tcPr>
          <w:p>
            <w:pPr>
              <w:spacing w:line="360" w:lineRule="auto"/>
              <w:jc w:val="center"/>
              <w:rPr>
                <w:rFonts w:ascii="宋体" w:hAnsi="宋体"/>
                <w:color w:val="auto"/>
                <w:szCs w:val="21"/>
                <w:highlight w:val="none"/>
              </w:rPr>
            </w:pPr>
          </w:p>
        </w:tc>
        <w:tc>
          <w:tcPr>
            <w:tcW w:w="709" w:type="dxa"/>
            <w:vAlign w:val="center"/>
          </w:tcPr>
          <w:p>
            <w:pPr>
              <w:spacing w:line="360" w:lineRule="auto"/>
              <w:jc w:val="center"/>
              <w:rPr>
                <w:rFonts w:ascii="宋体" w:hAnsi="宋体"/>
                <w:color w:val="auto"/>
                <w:szCs w:val="21"/>
                <w:highlight w:val="none"/>
              </w:rPr>
            </w:pPr>
          </w:p>
        </w:tc>
        <w:tc>
          <w:tcPr>
            <w:tcW w:w="1176" w:type="dxa"/>
            <w:vAlign w:val="center"/>
          </w:tcPr>
          <w:p>
            <w:pPr>
              <w:spacing w:line="360" w:lineRule="auto"/>
              <w:jc w:val="center"/>
              <w:rPr>
                <w:rFonts w:ascii="宋体" w:hAnsi="宋体"/>
                <w:color w:val="auto"/>
                <w:szCs w:val="21"/>
                <w:highlight w:val="none"/>
              </w:rPr>
            </w:pPr>
          </w:p>
        </w:tc>
        <w:tc>
          <w:tcPr>
            <w:tcW w:w="1659" w:type="dxa"/>
            <w:vAlign w:val="center"/>
          </w:tcPr>
          <w:p>
            <w:pPr>
              <w:spacing w:line="360" w:lineRule="auto"/>
              <w:jc w:val="center"/>
              <w:rPr>
                <w:rFonts w:ascii="宋体" w:hAnsi="宋体"/>
                <w:color w:val="auto"/>
                <w:szCs w:val="21"/>
                <w:highlight w:val="none"/>
              </w:rPr>
            </w:pPr>
          </w:p>
        </w:tc>
        <w:tc>
          <w:tcPr>
            <w:tcW w:w="850"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hAnsi="宋体"/>
                <w:color w:val="auto"/>
                <w:szCs w:val="21"/>
                <w:highlight w:val="none"/>
              </w:rPr>
            </w:pPr>
          </w:p>
        </w:tc>
        <w:tc>
          <w:tcPr>
            <w:tcW w:w="1064" w:type="dxa"/>
            <w:vAlign w:val="center"/>
          </w:tcPr>
          <w:p>
            <w:pPr>
              <w:spacing w:line="360" w:lineRule="auto"/>
              <w:jc w:val="center"/>
              <w:rPr>
                <w:rFonts w:ascii="宋体" w:hAnsi="宋体"/>
                <w:color w:val="auto"/>
                <w:szCs w:val="21"/>
                <w:highlight w:val="none"/>
              </w:rPr>
            </w:pPr>
          </w:p>
        </w:tc>
        <w:tc>
          <w:tcPr>
            <w:tcW w:w="67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709" w:type="dxa"/>
            <w:vAlign w:val="center"/>
          </w:tcPr>
          <w:p>
            <w:pPr>
              <w:spacing w:line="360" w:lineRule="auto"/>
              <w:jc w:val="center"/>
              <w:rPr>
                <w:rFonts w:ascii="宋体" w:hAnsi="宋体"/>
                <w:color w:val="auto"/>
                <w:szCs w:val="21"/>
                <w:highlight w:val="none"/>
              </w:rPr>
            </w:pPr>
          </w:p>
        </w:tc>
        <w:tc>
          <w:tcPr>
            <w:tcW w:w="709" w:type="dxa"/>
            <w:vAlign w:val="center"/>
          </w:tcPr>
          <w:p>
            <w:pPr>
              <w:spacing w:line="360" w:lineRule="auto"/>
              <w:jc w:val="center"/>
              <w:rPr>
                <w:rFonts w:ascii="宋体" w:hAnsi="宋体"/>
                <w:color w:val="auto"/>
                <w:szCs w:val="21"/>
                <w:highlight w:val="none"/>
              </w:rPr>
            </w:pPr>
          </w:p>
        </w:tc>
        <w:tc>
          <w:tcPr>
            <w:tcW w:w="1176" w:type="dxa"/>
            <w:vAlign w:val="center"/>
          </w:tcPr>
          <w:p>
            <w:pPr>
              <w:spacing w:line="360" w:lineRule="auto"/>
              <w:jc w:val="center"/>
              <w:rPr>
                <w:rFonts w:ascii="宋体" w:hAnsi="宋体"/>
                <w:color w:val="auto"/>
                <w:szCs w:val="21"/>
                <w:highlight w:val="none"/>
              </w:rPr>
            </w:pPr>
          </w:p>
        </w:tc>
        <w:tc>
          <w:tcPr>
            <w:tcW w:w="1659" w:type="dxa"/>
            <w:vAlign w:val="center"/>
          </w:tcPr>
          <w:p>
            <w:pPr>
              <w:spacing w:line="360" w:lineRule="auto"/>
              <w:jc w:val="center"/>
              <w:rPr>
                <w:rFonts w:ascii="宋体" w:hAnsi="宋体"/>
                <w:color w:val="auto"/>
                <w:szCs w:val="21"/>
                <w:highlight w:val="none"/>
              </w:rPr>
            </w:pPr>
          </w:p>
        </w:tc>
        <w:tc>
          <w:tcPr>
            <w:tcW w:w="850"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hAnsi="宋体"/>
                <w:color w:val="auto"/>
                <w:szCs w:val="21"/>
                <w:highlight w:val="none"/>
              </w:rPr>
            </w:pPr>
          </w:p>
        </w:tc>
        <w:tc>
          <w:tcPr>
            <w:tcW w:w="1064" w:type="dxa"/>
            <w:vAlign w:val="center"/>
          </w:tcPr>
          <w:p>
            <w:pPr>
              <w:spacing w:line="360" w:lineRule="auto"/>
              <w:jc w:val="center"/>
              <w:rPr>
                <w:rFonts w:ascii="宋体" w:hAnsi="宋体"/>
                <w:color w:val="auto"/>
                <w:szCs w:val="21"/>
                <w:highlight w:val="none"/>
              </w:rPr>
            </w:pPr>
          </w:p>
        </w:tc>
        <w:tc>
          <w:tcPr>
            <w:tcW w:w="67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709" w:type="dxa"/>
            <w:vAlign w:val="center"/>
          </w:tcPr>
          <w:p>
            <w:pPr>
              <w:spacing w:line="360" w:lineRule="auto"/>
              <w:jc w:val="center"/>
              <w:rPr>
                <w:rFonts w:ascii="宋体" w:hAnsi="宋体"/>
                <w:color w:val="auto"/>
                <w:szCs w:val="21"/>
                <w:highlight w:val="none"/>
              </w:rPr>
            </w:pPr>
          </w:p>
        </w:tc>
        <w:tc>
          <w:tcPr>
            <w:tcW w:w="709" w:type="dxa"/>
            <w:vAlign w:val="center"/>
          </w:tcPr>
          <w:p>
            <w:pPr>
              <w:spacing w:line="360" w:lineRule="auto"/>
              <w:jc w:val="center"/>
              <w:rPr>
                <w:rFonts w:ascii="宋体" w:hAnsi="宋体"/>
                <w:color w:val="auto"/>
                <w:szCs w:val="21"/>
                <w:highlight w:val="none"/>
              </w:rPr>
            </w:pPr>
          </w:p>
        </w:tc>
        <w:tc>
          <w:tcPr>
            <w:tcW w:w="1176" w:type="dxa"/>
            <w:vAlign w:val="center"/>
          </w:tcPr>
          <w:p>
            <w:pPr>
              <w:spacing w:line="360" w:lineRule="auto"/>
              <w:jc w:val="center"/>
              <w:rPr>
                <w:rFonts w:ascii="宋体" w:hAnsi="宋体"/>
                <w:color w:val="auto"/>
                <w:szCs w:val="21"/>
                <w:highlight w:val="none"/>
              </w:rPr>
            </w:pPr>
          </w:p>
        </w:tc>
        <w:tc>
          <w:tcPr>
            <w:tcW w:w="1659" w:type="dxa"/>
            <w:vAlign w:val="center"/>
          </w:tcPr>
          <w:p>
            <w:pPr>
              <w:spacing w:line="360" w:lineRule="auto"/>
              <w:jc w:val="center"/>
              <w:rPr>
                <w:rFonts w:ascii="宋体" w:hAnsi="宋体"/>
                <w:color w:val="auto"/>
                <w:szCs w:val="21"/>
                <w:highlight w:val="none"/>
              </w:rPr>
            </w:pPr>
          </w:p>
        </w:tc>
        <w:tc>
          <w:tcPr>
            <w:tcW w:w="850"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hAnsi="宋体"/>
                <w:color w:val="auto"/>
                <w:szCs w:val="21"/>
                <w:highlight w:val="none"/>
              </w:rPr>
            </w:pPr>
          </w:p>
        </w:tc>
        <w:tc>
          <w:tcPr>
            <w:tcW w:w="1064" w:type="dxa"/>
            <w:vAlign w:val="center"/>
          </w:tcPr>
          <w:p>
            <w:pPr>
              <w:spacing w:line="360" w:lineRule="auto"/>
              <w:jc w:val="center"/>
              <w:rPr>
                <w:rFonts w:ascii="宋体" w:hAnsi="宋体"/>
                <w:color w:val="auto"/>
                <w:szCs w:val="21"/>
                <w:highlight w:val="none"/>
              </w:rPr>
            </w:pPr>
          </w:p>
        </w:tc>
        <w:tc>
          <w:tcPr>
            <w:tcW w:w="67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709" w:type="dxa"/>
            <w:vAlign w:val="center"/>
          </w:tcPr>
          <w:p>
            <w:pPr>
              <w:spacing w:line="360" w:lineRule="auto"/>
              <w:jc w:val="center"/>
              <w:rPr>
                <w:rFonts w:ascii="宋体" w:hAnsi="宋体"/>
                <w:color w:val="auto"/>
                <w:szCs w:val="21"/>
                <w:highlight w:val="none"/>
              </w:rPr>
            </w:pPr>
          </w:p>
        </w:tc>
        <w:tc>
          <w:tcPr>
            <w:tcW w:w="709" w:type="dxa"/>
            <w:vAlign w:val="center"/>
          </w:tcPr>
          <w:p>
            <w:pPr>
              <w:spacing w:line="360" w:lineRule="auto"/>
              <w:jc w:val="center"/>
              <w:rPr>
                <w:rFonts w:ascii="宋体" w:hAnsi="宋体"/>
                <w:color w:val="auto"/>
                <w:szCs w:val="21"/>
                <w:highlight w:val="none"/>
              </w:rPr>
            </w:pPr>
          </w:p>
        </w:tc>
        <w:tc>
          <w:tcPr>
            <w:tcW w:w="1176" w:type="dxa"/>
            <w:vAlign w:val="center"/>
          </w:tcPr>
          <w:p>
            <w:pPr>
              <w:spacing w:line="360" w:lineRule="auto"/>
              <w:jc w:val="center"/>
              <w:rPr>
                <w:rFonts w:ascii="宋体" w:hAnsi="宋体"/>
                <w:color w:val="auto"/>
                <w:szCs w:val="21"/>
                <w:highlight w:val="none"/>
              </w:rPr>
            </w:pPr>
          </w:p>
        </w:tc>
        <w:tc>
          <w:tcPr>
            <w:tcW w:w="1659" w:type="dxa"/>
            <w:vAlign w:val="center"/>
          </w:tcPr>
          <w:p>
            <w:pPr>
              <w:spacing w:line="360" w:lineRule="auto"/>
              <w:jc w:val="center"/>
              <w:rPr>
                <w:rFonts w:ascii="宋体" w:hAnsi="宋体"/>
                <w:color w:val="auto"/>
                <w:szCs w:val="21"/>
                <w:highlight w:val="none"/>
              </w:rPr>
            </w:pPr>
          </w:p>
        </w:tc>
        <w:tc>
          <w:tcPr>
            <w:tcW w:w="850"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hAnsi="宋体"/>
                <w:color w:val="auto"/>
                <w:szCs w:val="21"/>
                <w:highlight w:val="none"/>
              </w:rPr>
            </w:pPr>
          </w:p>
        </w:tc>
        <w:tc>
          <w:tcPr>
            <w:tcW w:w="1064" w:type="dxa"/>
            <w:vAlign w:val="center"/>
          </w:tcPr>
          <w:p>
            <w:pPr>
              <w:spacing w:line="360" w:lineRule="auto"/>
              <w:jc w:val="center"/>
              <w:rPr>
                <w:rFonts w:ascii="宋体" w:hAnsi="宋体"/>
                <w:color w:val="auto"/>
                <w:szCs w:val="21"/>
                <w:highlight w:val="none"/>
              </w:rPr>
            </w:pPr>
          </w:p>
        </w:tc>
        <w:tc>
          <w:tcPr>
            <w:tcW w:w="67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709" w:type="dxa"/>
            <w:vAlign w:val="center"/>
          </w:tcPr>
          <w:p>
            <w:pPr>
              <w:spacing w:line="360" w:lineRule="auto"/>
              <w:jc w:val="center"/>
              <w:rPr>
                <w:rFonts w:ascii="宋体" w:hAnsi="宋体"/>
                <w:color w:val="auto"/>
                <w:szCs w:val="21"/>
                <w:highlight w:val="none"/>
              </w:rPr>
            </w:pPr>
          </w:p>
        </w:tc>
        <w:tc>
          <w:tcPr>
            <w:tcW w:w="709" w:type="dxa"/>
            <w:vAlign w:val="center"/>
          </w:tcPr>
          <w:p>
            <w:pPr>
              <w:spacing w:line="360" w:lineRule="auto"/>
              <w:jc w:val="center"/>
              <w:rPr>
                <w:rFonts w:ascii="宋体" w:hAnsi="宋体"/>
                <w:color w:val="auto"/>
                <w:szCs w:val="21"/>
                <w:highlight w:val="none"/>
              </w:rPr>
            </w:pPr>
          </w:p>
        </w:tc>
        <w:tc>
          <w:tcPr>
            <w:tcW w:w="1176" w:type="dxa"/>
            <w:vAlign w:val="center"/>
          </w:tcPr>
          <w:p>
            <w:pPr>
              <w:spacing w:line="360" w:lineRule="auto"/>
              <w:jc w:val="center"/>
              <w:rPr>
                <w:rFonts w:ascii="宋体" w:hAnsi="宋体"/>
                <w:color w:val="auto"/>
                <w:szCs w:val="21"/>
                <w:highlight w:val="none"/>
              </w:rPr>
            </w:pPr>
          </w:p>
        </w:tc>
        <w:tc>
          <w:tcPr>
            <w:tcW w:w="1659" w:type="dxa"/>
            <w:vAlign w:val="center"/>
          </w:tcPr>
          <w:p>
            <w:pPr>
              <w:spacing w:line="360" w:lineRule="auto"/>
              <w:jc w:val="center"/>
              <w:rPr>
                <w:rFonts w:ascii="宋体" w:hAnsi="宋体"/>
                <w:color w:val="auto"/>
                <w:szCs w:val="21"/>
                <w:highlight w:val="none"/>
              </w:rPr>
            </w:pPr>
          </w:p>
        </w:tc>
        <w:tc>
          <w:tcPr>
            <w:tcW w:w="850"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hAnsi="宋体"/>
                <w:color w:val="auto"/>
                <w:szCs w:val="21"/>
                <w:highlight w:val="none"/>
              </w:rPr>
            </w:pPr>
          </w:p>
        </w:tc>
        <w:tc>
          <w:tcPr>
            <w:tcW w:w="1064" w:type="dxa"/>
            <w:vAlign w:val="center"/>
          </w:tcPr>
          <w:p>
            <w:pPr>
              <w:spacing w:line="360" w:lineRule="auto"/>
              <w:jc w:val="center"/>
              <w:rPr>
                <w:rFonts w:ascii="宋体" w:hAnsi="宋体"/>
                <w:color w:val="auto"/>
                <w:szCs w:val="21"/>
                <w:highlight w:val="none"/>
              </w:rPr>
            </w:pPr>
          </w:p>
        </w:tc>
        <w:tc>
          <w:tcPr>
            <w:tcW w:w="67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709" w:type="dxa"/>
            <w:vAlign w:val="center"/>
          </w:tcPr>
          <w:p>
            <w:pPr>
              <w:spacing w:line="360" w:lineRule="auto"/>
              <w:jc w:val="center"/>
              <w:rPr>
                <w:rFonts w:ascii="宋体" w:hAnsi="宋体"/>
                <w:color w:val="auto"/>
                <w:szCs w:val="21"/>
                <w:highlight w:val="none"/>
              </w:rPr>
            </w:pPr>
          </w:p>
        </w:tc>
        <w:tc>
          <w:tcPr>
            <w:tcW w:w="709" w:type="dxa"/>
            <w:vAlign w:val="center"/>
          </w:tcPr>
          <w:p>
            <w:pPr>
              <w:spacing w:line="360" w:lineRule="auto"/>
              <w:jc w:val="center"/>
              <w:rPr>
                <w:rFonts w:ascii="宋体" w:hAnsi="宋体"/>
                <w:color w:val="auto"/>
                <w:szCs w:val="21"/>
                <w:highlight w:val="none"/>
              </w:rPr>
            </w:pPr>
          </w:p>
        </w:tc>
        <w:tc>
          <w:tcPr>
            <w:tcW w:w="1176" w:type="dxa"/>
            <w:vAlign w:val="center"/>
          </w:tcPr>
          <w:p>
            <w:pPr>
              <w:spacing w:line="360" w:lineRule="auto"/>
              <w:jc w:val="center"/>
              <w:rPr>
                <w:rFonts w:ascii="宋体" w:hAnsi="宋体"/>
                <w:color w:val="auto"/>
                <w:szCs w:val="21"/>
                <w:highlight w:val="none"/>
              </w:rPr>
            </w:pPr>
          </w:p>
        </w:tc>
        <w:tc>
          <w:tcPr>
            <w:tcW w:w="1659" w:type="dxa"/>
            <w:vAlign w:val="center"/>
          </w:tcPr>
          <w:p>
            <w:pPr>
              <w:spacing w:line="360" w:lineRule="auto"/>
              <w:jc w:val="center"/>
              <w:rPr>
                <w:rFonts w:ascii="宋体" w:hAnsi="宋体"/>
                <w:color w:val="auto"/>
                <w:szCs w:val="21"/>
                <w:highlight w:val="none"/>
              </w:rPr>
            </w:pPr>
          </w:p>
        </w:tc>
        <w:tc>
          <w:tcPr>
            <w:tcW w:w="850"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hAnsi="宋体"/>
                <w:color w:val="auto"/>
                <w:szCs w:val="21"/>
                <w:highlight w:val="none"/>
              </w:rPr>
            </w:pPr>
          </w:p>
        </w:tc>
        <w:tc>
          <w:tcPr>
            <w:tcW w:w="1064" w:type="dxa"/>
            <w:vAlign w:val="center"/>
          </w:tcPr>
          <w:p>
            <w:pPr>
              <w:spacing w:line="360" w:lineRule="auto"/>
              <w:jc w:val="center"/>
              <w:rPr>
                <w:rFonts w:ascii="宋体" w:hAnsi="宋体"/>
                <w:color w:val="auto"/>
                <w:szCs w:val="21"/>
                <w:highlight w:val="none"/>
              </w:rPr>
            </w:pPr>
          </w:p>
        </w:tc>
        <w:tc>
          <w:tcPr>
            <w:tcW w:w="67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709" w:type="dxa"/>
            <w:vAlign w:val="center"/>
          </w:tcPr>
          <w:p>
            <w:pPr>
              <w:spacing w:line="360" w:lineRule="auto"/>
              <w:jc w:val="center"/>
              <w:rPr>
                <w:rFonts w:ascii="宋体" w:hAnsi="宋体"/>
                <w:color w:val="auto"/>
                <w:szCs w:val="21"/>
                <w:highlight w:val="none"/>
              </w:rPr>
            </w:pPr>
          </w:p>
        </w:tc>
        <w:tc>
          <w:tcPr>
            <w:tcW w:w="709" w:type="dxa"/>
            <w:vAlign w:val="center"/>
          </w:tcPr>
          <w:p>
            <w:pPr>
              <w:spacing w:line="360" w:lineRule="auto"/>
              <w:jc w:val="center"/>
              <w:rPr>
                <w:rFonts w:ascii="宋体" w:hAnsi="宋体"/>
                <w:color w:val="auto"/>
                <w:szCs w:val="21"/>
                <w:highlight w:val="none"/>
              </w:rPr>
            </w:pPr>
          </w:p>
        </w:tc>
        <w:tc>
          <w:tcPr>
            <w:tcW w:w="1176" w:type="dxa"/>
            <w:vAlign w:val="center"/>
          </w:tcPr>
          <w:p>
            <w:pPr>
              <w:spacing w:line="360" w:lineRule="auto"/>
              <w:jc w:val="center"/>
              <w:rPr>
                <w:rFonts w:ascii="宋体" w:hAnsi="宋体"/>
                <w:color w:val="auto"/>
                <w:szCs w:val="21"/>
                <w:highlight w:val="none"/>
              </w:rPr>
            </w:pPr>
          </w:p>
        </w:tc>
        <w:tc>
          <w:tcPr>
            <w:tcW w:w="1659" w:type="dxa"/>
            <w:vAlign w:val="center"/>
          </w:tcPr>
          <w:p>
            <w:pPr>
              <w:spacing w:line="360" w:lineRule="auto"/>
              <w:jc w:val="center"/>
              <w:rPr>
                <w:rFonts w:ascii="宋体" w:hAnsi="宋体"/>
                <w:color w:val="auto"/>
                <w:szCs w:val="21"/>
                <w:highlight w:val="none"/>
              </w:rPr>
            </w:pPr>
          </w:p>
        </w:tc>
        <w:tc>
          <w:tcPr>
            <w:tcW w:w="850"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spacing w:line="360" w:lineRule="auto"/>
              <w:jc w:val="center"/>
              <w:rPr>
                <w:rFonts w:ascii="宋体" w:hAnsi="宋体"/>
                <w:color w:val="auto"/>
                <w:szCs w:val="21"/>
                <w:highlight w:val="none"/>
              </w:rPr>
            </w:pPr>
          </w:p>
        </w:tc>
        <w:tc>
          <w:tcPr>
            <w:tcW w:w="1064" w:type="dxa"/>
            <w:vAlign w:val="center"/>
          </w:tcPr>
          <w:p>
            <w:pPr>
              <w:spacing w:line="360" w:lineRule="auto"/>
              <w:jc w:val="center"/>
              <w:rPr>
                <w:rFonts w:ascii="宋体" w:hAnsi="宋体"/>
                <w:color w:val="auto"/>
                <w:szCs w:val="21"/>
                <w:highlight w:val="none"/>
              </w:rPr>
            </w:pPr>
          </w:p>
        </w:tc>
        <w:tc>
          <w:tcPr>
            <w:tcW w:w="672" w:type="dxa"/>
            <w:vAlign w:val="center"/>
          </w:tcPr>
          <w:p>
            <w:pPr>
              <w:spacing w:line="360" w:lineRule="auto"/>
              <w:jc w:val="center"/>
              <w:rPr>
                <w:rFonts w:ascii="宋体" w:hAnsi="宋体"/>
                <w:color w:val="auto"/>
                <w:szCs w:val="21"/>
                <w:highlight w:val="none"/>
              </w:rPr>
            </w:pPr>
          </w:p>
        </w:tc>
        <w:tc>
          <w:tcPr>
            <w:tcW w:w="1022" w:type="dxa"/>
            <w:vAlign w:val="center"/>
          </w:tcPr>
          <w:p>
            <w:pPr>
              <w:spacing w:line="360" w:lineRule="auto"/>
              <w:jc w:val="center"/>
              <w:rPr>
                <w:rFonts w:ascii="宋体" w:hAnsi="宋体"/>
                <w:color w:val="auto"/>
                <w:szCs w:val="21"/>
                <w:highlight w:val="none"/>
              </w:rPr>
            </w:pPr>
          </w:p>
        </w:tc>
        <w:tc>
          <w:tcPr>
            <w:tcW w:w="709" w:type="dxa"/>
            <w:vAlign w:val="center"/>
          </w:tcPr>
          <w:p>
            <w:pPr>
              <w:spacing w:line="360" w:lineRule="auto"/>
              <w:jc w:val="center"/>
              <w:rPr>
                <w:rFonts w:ascii="宋体" w:hAnsi="宋体"/>
                <w:color w:val="auto"/>
                <w:szCs w:val="21"/>
                <w:highlight w:val="none"/>
              </w:rPr>
            </w:pPr>
          </w:p>
        </w:tc>
        <w:tc>
          <w:tcPr>
            <w:tcW w:w="709" w:type="dxa"/>
            <w:vAlign w:val="center"/>
          </w:tcPr>
          <w:p>
            <w:pPr>
              <w:spacing w:line="360" w:lineRule="auto"/>
              <w:jc w:val="center"/>
              <w:rPr>
                <w:rFonts w:ascii="宋体" w:hAnsi="宋体"/>
                <w:color w:val="auto"/>
                <w:szCs w:val="21"/>
                <w:highlight w:val="none"/>
              </w:rPr>
            </w:pPr>
          </w:p>
        </w:tc>
        <w:tc>
          <w:tcPr>
            <w:tcW w:w="1176" w:type="dxa"/>
            <w:vAlign w:val="center"/>
          </w:tcPr>
          <w:p>
            <w:pPr>
              <w:spacing w:line="360" w:lineRule="auto"/>
              <w:jc w:val="center"/>
              <w:rPr>
                <w:rFonts w:ascii="宋体" w:hAnsi="宋体"/>
                <w:color w:val="auto"/>
                <w:szCs w:val="21"/>
                <w:highlight w:val="none"/>
              </w:rPr>
            </w:pPr>
          </w:p>
        </w:tc>
        <w:tc>
          <w:tcPr>
            <w:tcW w:w="1659" w:type="dxa"/>
            <w:vAlign w:val="center"/>
          </w:tcPr>
          <w:p>
            <w:pPr>
              <w:spacing w:line="360" w:lineRule="auto"/>
              <w:jc w:val="center"/>
              <w:rPr>
                <w:rFonts w:ascii="宋体" w:hAnsi="宋体"/>
                <w:color w:val="auto"/>
                <w:szCs w:val="21"/>
                <w:highlight w:val="none"/>
              </w:rPr>
            </w:pPr>
          </w:p>
        </w:tc>
        <w:tc>
          <w:tcPr>
            <w:tcW w:w="850" w:type="dxa"/>
            <w:vAlign w:val="center"/>
          </w:tcPr>
          <w:p>
            <w:pPr>
              <w:spacing w:line="360" w:lineRule="auto"/>
              <w:jc w:val="center"/>
              <w:rPr>
                <w:rFonts w:ascii="宋体" w:hAnsi="宋体"/>
                <w:color w:val="auto"/>
                <w:szCs w:val="21"/>
                <w:highlight w:val="none"/>
              </w:rPr>
            </w:pPr>
          </w:p>
        </w:tc>
      </w:tr>
    </w:tbl>
    <w:p>
      <w:pPr>
        <w:spacing w:line="360" w:lineRule="auto"/>
        <w:rPr>
          <w:rFonts w:ascii="宋体" w:hAnsi="宋体"/>
          <w:color w:val="auto"/>
          <w:szCs w:val="21"/>
          <w:highlight w:val="none"/>
        </w:rPr>
      </w:pPr>
    </w:p>
    <w:p>
      <w:pPr>
        <w:spacing w:before="120" w:beforeLines="50" w:after="120" w:afterLines="50" w:line="360" w:lineRule="auto"/>
        <w:outlineLvl w:val="3"/>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附表三：劳动力计划表</w:t>
      </w:r>
    </w:p>
    <w:p>
      <w:pPr>
        <w:spacing w:line="360" w:lineRule="auto"/>
        <w:jc w:val="right"/>
        <w:rPr>
          <w:rFonts w:ascii="宋体" w:hAnsi="宋体"/>
          <w:color w:val="auto"/>
          <w:szCs w:val="21"/>
          <w:highlight w:val="none"/>
        </w:rPr>
      </w:pPr>
      <w:r>
        <w:rPr>
          <w:rFonts w:hint="eastAsia" w:ascii="宋体" w:hAnsi="宋体"/>
          <w:color w:val="auto"/>
          <w:szCs w:val="21"/>
          <w:highlight w:val="none"/>
        </w:rPr>
        <w:t xml:space="preserve">单位：人   </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工种</w:t>
            </w:r>
          </w:p>
        </w:tc>
        <w:tc>
          <w:tcPr>
            <w:tcW w:w="7796" w:type="dxa"/>
            <w:gridSpan w:val="7"/>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spacing w:line="360" w:lineRule="auto"/>
              <w:jc w:val="center"/>
              <w:rPr>
                <w:rFonts w:ascii="宋体" w:hAnsi="宋体"/>
                <w:color w:val="auto"/>
                <w:szCs w:val="21"/>
                <w:highlight w:val="none"/>
              </w:rPr>
            </w:pPr>
          </w:p>
        </w:tc>
        <w:tc>
          <w:tcPr>
            <w:tcW w:w="1418"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spacing w:line="360" w:lineRule="auto"/>
              <w:jc w:val="center"/>
              <w:rPr>
                <w:rFonts w:ascii="宋体" w:hAnsi="宋体"/>
                <w:color w:val="auto"/>
                <w:szCs w:val="21"/>
                <w:highlight w:val="none"/>
              </w:rPr>
            </w:pPr>
          </w:p>
        </w:tc>
        <w:tc>
          <w:tcPr>
            <w:tcW w:w="1418"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spacing w:line="360" w:lineRule="auto"/>
              <w:jc w:val="center"/>
              <w:rPr>
                <w:rFonts w:ascii="宋体" w:hAnsi="宋体"/>
                <w:color w:val="auto"/>
                <w:szCs w:val="21"/>
                <w:highlight w:val="none"/>
              </w:rPr>
            </w:pPr>
          </w:p>
        </w:tc>
        <w:tc>
          <w:tcPr>
            <w:tcW w:w="1418"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spacing w:line="360" w:lineRule="auto"/>
              <w:jc w:val="center"/>
              <w:rPr>
                <w:rFonts w:ascii="宋体" w:hAnsi="宋体"/>
                <w:color w:val="auto"/>
                <w:szCs w:val="21"/>
                <w:highlight w:val="none"/>
              </w:rPr>
            </w:pPr>
          </w:p>
        </w:tc>
        <w:tc>
          <w:tcPr>
            <w:tcW w:w="1418"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spacing w:line="360" w:lineRule="auto"/>
              <w:jc w:val="center"/>
              <w:rPr>
                <w:rFonts w:ascii="宋体" w:hAnsi="宋体"/>
                <w:color w:val="auto"/>
                <w:szCs w:val="21"/>
                <w:highlight w:val="none"/>
              </w:rPr>
            </w:pPr>
          </w:p>
        </w:tc>
        <w:tc>
          <w:tcPr>
            <w:tcW w:w="1418"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spacing w:line="360" w:lineRule="auto"/>
              <w:jc w:val="center"/>
              <w:rPr>
                <w:rFonts w:ascii="宋体" w:hAnsi="宋体"/>
                <w:color w:val="auto"/>
                <w:szCs w:val="21"/>
                <w:highlight w:val="none"/>
              </w:rPr>
            </w:pPr>
          </w:p>
        </w:tc>
        <w:tc>
          <w:tcPr>
            <w:tcW w:w="1418"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spacing w:line="360" w:lineRule="auto"/>
              <w:jc w:val="center"/>
              <w:rPr>
                <w:rFonts w:ascii="宋体" w:hAnsi="宋体"/>
                <w:color w:val="auto"/>
                <w:szCs w:val="21"/>
                <w:highlight w:val="none"/>
              </w:rPr>
            </w:pPr>
          </w:p>
        </w:tc>
        <w:tc>
          <w:tcPr>
            <w:tcW w:w="1418"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spacing w:line="360" w:lineRule="auto"/>
              <w:jc w:val="center"/>
              <w:rPr>
                <w:rFonts w:ascii="宋体" w:hAnsi="宋体"/>
                <w:color w:val="auto"/>
                <w:szCs w:val="21"/>
                <w:highlight w:val="none"/>
              </w:rPr>
            </w:pPr>
          </w:p>
        </w:tc>
        <w:tc>
          <w:tcPr>
            <w:tcW w:w="1418"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spacing w:line="360" w:lineRule="auto"/>
              <w:jc w:val="center"/>
              <w:rPr>
                <w:rFonts w:ascii="宋体" w:hAnsi="宋体"/>
                <w:color w:val="auto"/>
                <w:szCs w:val="21"/>
                <w:highlight w:val="none"/>
              </w:rPr>
            </w:pPr>
          </w:p>
        </w:tc>
        <w:tc>
          <w:tcPr>
            <w:tcW w:w="1418"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spacing w:line="360" w:lineRule="auto"/>
              <w:jc w:val="center"/>
              <w:rPr>
                <w:rFonts w:ascii="宋体" w:hAnsi="宋体"/>
                <w:color w:val="auto"/>
                <w:szCs w:val="21"/>
                <w:highlight w:val="none"/>
              </w:rPr>
            </w:pPr>
          </w:p>
        </w:tc>
        <w:tc>
          <w:tcPr>
            <w:tcW w:w="1418"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spacing w:line="360" w:lineRule="auto"/>
              <w:jc w:val="center"/>
              <w:rPr>
                <w:rFonts w:ascii="宋体" w:hAnsi="宋体"/>
                <w:color w:val="auto"/>
                <w:szCs w:val="21"/>
                <w:highlight w:val="none"/>
              </w:rPr>
            </w:pPr>
          </w:p>
        </w:tc>
        <w:tc>
          <w:tcPr>
            <w:tcW w:w="1418"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spacing w:line="360" w:lineRule="auto"/>
              <w:jc w:val="center"/>
              <w:rPr>
                <w:rFonts w:ascii="宋体" w:hAnsi="宋体"/>
                <w:color w:val="auto"/>
                <w:szCs w:val="21"/>
                <w:highlight w:val="none"/>
              </w:rPr>
            </w:pPr>
          </w:p>
        </w:tc>
        <w:tc>
          <w:tcPr>
            <w:tcW w:w="1418"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spacing w:line="360" w:lineRule="auto"/>
              <w:jc w:val="center"/>
              <w:rPr>
                <w:rFonts w:ascii="宋体" w:hAnsi="宋体"/>
                <w:color w:val="auto"/>
                <w:szCs w:val="21"/>
                <w:highlight w:val="none"/>
              </w:rPr>
            </w:pPr>
          </w:p>
        </w:tc>
        <w:tc>
          <w:tcPr>
            <w:tcW w:w="1418"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spacing w:line="360" w:lineRule="auto"/>
              <w:jc w:val="center"/>
              <w:rPr>
                <w:rFonts w:ascii="宋体" w:hAnsi="宋体"/>
                <w:color w:val="auto"/>
                <w:szCs w:val="21"/>
                <w:highlight w:val="none"/>
              </w:rPr>
            </w:pPr>
          </w:p>
        </w:tc>
        <w:tc>
          <w:tcPr>
            <w:tcW w:w="1418"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spacing w:line="360" w:lineRule="auto"/>
              <w:jc w:val="center"/>
              <w:rPr>
                <w:rFonts w:ascii="宋体" w:hAnsi="宋体"/>
                <w:color w:val="auto"/>
                <w:szCs w:val="21"/>
                <w:highlight w:val="none"/>
              </w:rPr>
            </w:pPr>
          </w:p>
        </w:tc>
        <w:tc>
          <w:tcPr>
            <w:tcW w:w="1418"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spacing w:line="360" w:lineRule="auto"/>
              <w:jc w:val="center"/>
              <w:rPr>
                <w:rFonts w:ascii="宋体" w:hAnsi="宋体"/>
                <w:color w:val="auto"/>
                <w:szCs w:val="21"/>
                <w:highlight w:val="none"/>
              </w:rPr>
            </w:pPr>
          </w:p>
        </w:tc>
        <w:tc>
          <w:tcPr>
            <w:tcW w:w="1418"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spacing w:line="360" w:lineRule="auto"/>
              <w:jc w:val="center"/>
              <w:rPr>
                <w:rFonts w:ascii="宋体" w:hAnsi="宋体"/>
                <w:color w:val="auto"/>
                <w:szCs w:val="21"/>
                <w:highlight w:val="none"/>
              </w:rPr>
            </w:pPr>
          </w:p>
        </w:tc>
        <w:tc>
          <w:tcPr>
            <w:tcW w:w="1418"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spacing w:line="360" w:lineRule="auto"/>
              <w:jc w:val="center"/>
              <w:rPr>
                <w:rFonts w:ascii="宋体" w:hAnsi="宋体"/>
                <w:color w:val="auto"/>
                <w:szCs w:val="21"/>
                <w:highlight w:val="none"/>
              </w:rPr>
            </w:pPr>
          </w:p>
        </w:tc>
        <w:tc>
          <w:tcPr>
            <w:tcW w:w="1418"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spacing w:line="360" w:lineRule="auto"/>
              <w:jc w:val="center"/>
              <w:rPr>
                <w:rFonts w:ascii="宋体" w:hAnsi="宋体"/>
                <w:color w:val="auto"/>
                <w:szCs w:val="21"/>
                <w:highlight w:val="none"/>
              </w:rPr>
            </w:pPr>
          </w:p>
        </w:tc>
        <w:tc>
          <w:tcPr>
            <w:tcW w:w="1418"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spacing w:line="360" w:lineRule="auto"/>
              <w:jc w:val="center"/>
              <w:rPr>
                <w:rFonts w:ascii="宋体" w:hAnsi="宋体"/>
                <w:color w:val="auto"/>
                <w:szCs w:val="21"/>
                <w:highlight w:val="none"/>
              </w:rPr>
            </w:pPr>
          </w:p>
        </w:tc>
        <w:tc>
          <w:tcPr>
            <w:tcW w:w="1418"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spacing w:line="360" w:lineRule="auto"/>
              <w:jc w:val="center"/>
              <w:rPr>
                <w:rFonts w:ascii="宋体" w:hAnsi="宋体"/>
                <w:color w:val="auto"/>
                <w:szCs w:val="21"/>
                <w:highlight w:val="none"/>
              </w:rPr>
            </w:pPr>
          </w:p>
        </w:tc>
        <w:tc>
          <w:tcPr>
            <w:tcW w:w="1418"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spacing w:line="360" w:lineRule="auto"/>
              <w:jc w:val="center"/>
              <w:rPr>
                <w:rFonts w:ascii="宋体" w:hAnsi="宋体"/>
                <w:color w:val="auto"/>
                <w:szCs w:val="21"/>
                <w:highlight w:val="none"/>
              </w:rPr>
            </w:pPr>
          </w:p>
        </w:tc>
        <w:tc>
          <w:tcPr>
            <w:tcW w:w="1418"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spacing w:line="360" w:lineRule="auto"/>
              <w:jc w:val="center"/>
              <w:rPr>
                <w:rFonts w:ascii="宋体" w:hAnsi="宋体"/>
                <w:color w:val="auto"/>
                <w:szCs w:val="21"/>
                <w:highlight w:val="none"/>
              </w:rPr>
            </w:pPr>
          </w:p>
        </w:tc>
        <w:tc>
          <w:tcPr>
            <w:tcW w:w="1418"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spacing w:line="360" w:lineRule="auto"/>
              <w:jc w:val="center"/>
              <w:rPr>
                <w:rFonts w:ascii="宋体" w:hAnsi="宋体"/>
                <w:color w:val="auto"/>
                <w:szCs w:val="21"/>
                <w:highlight w:val="none"/>
              </w:rPr>
            </w:pPr>
          </w:p>
        </w:tc>
        <w:tc>
          <w:tcPr>
            <w:tcW w:w="1418"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c>
          <w:tcPr>
            <w:tcW w:w="1063" w:type="dxa"/>
            <w:vAlign w:val="center"/>
          </w:tcPr>
          <w:p>
            <w:pPr>
              <w:spacing w:line="360" w:lineRule="auto"/>
              <w:jc w:val="center"/>
              <w:rPr>
                <w:rFonts w:ascii="宋体" w:hAnsi="宋体"/>
                <w:color w:val="auto"/>
                <w:szCs w:val="21"/>
                <w:highlight w:val="none"/>
              </w:rPr>
            </w:pPr>
          </w:p>
        </w:tc>
      </w:tr>
    </w:tbl>
    <w:p>
      <w:pPr>
        <w:spacing w:before="120" w:beforeLines="50" w:after="240" w:afterLines="100" w:line="360" w:lineRule="auto"/>
        <w:rPr>
          <w:rFonts w:ascii="宋体" w:hAnsi="宋体"/>
          <w:color w:val="auto"/>
          <w:szCs w:val="21"/>
          <w:highlight w:val="none"/>
        </w:rPr>
      </w:pPr>
    </w:p>
    <w:p>
      <w:pPr>
        <w:widowControl/>
        <w:jc w:val="left"/>
        <w:rPr>
          <w:rFonts w:ascii="宋体" w:hAnsi="宋体"/>
          <w:color w:val="auto"/>
          <w:szCs w:val="21"/>
          <w:highlight w:val="none"/>
        </w:rPr>
      </w:pPr>
      <w:r>
        <w:rPr>
          <w:rFonts w:ascii="宋体" w:hAnsi="宋体"/>
          <w:color w:val="auto"/>
          <w:szCs w:val="21"/>
          <w:highlight w:val="none"/>
        </w:rPr>
        <w:br w:type="page"/>
      </w:r>
    </w:p>
    <w:p>
      <w:pPr>
        <w:spacing w:before="120" w:beforeLines="50" w:after="240" w:afterLines="100" w:line="360" w:lineRule="auto"/>
        <w:outlineLvl w:val="3"/>
        <w:rPr>
          <w:rFonts w:ascii="宋体" w:hAnsi="宋体"/>
          <w:color w:val="auto"/>
          <w:szCs w:val="21"/>
          <w:highlight w:val="none"/>
        </w:rPr>
      </w:pPr>
      <w:r>
        <w:rPr>
          <w:rFonts w:hint="eastAsia" w:ascii="宋体" w:hAnsi="宋体"/>
          <w:color w:val="auto"/>
          <w:szCs w:val="21"/>
          <w:highlight w:val="none"/>
        </w:rPr>
        <w:t>附表四：计划开、竣工日期和施工进度网络图</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1．投标人应提交施工进度网络图或施工进度表，说明按招标文件要求的计划工期进行施工的各个关键日期。</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2．施工进度表可采用网络图和（或）横道图表示。</w:t>
      </w:r>
    </w:p>
    <w:p>
      <w:pPr>
        <w:spacing w:before="120" w:beforeLines="50" w:after="240" w:afterLines="100" w:line="360" w:lineRule="auto"/>
        <w:rPr>
          <w:rFonts w:ascii="宋体" w:hAnsi="宋体"/>
          <w:color w:val="auto"/>
          <w:szCs w:val="21"/>
          <w:highlight w:val="none"/>
        </w:rPr>
      </w:pPr>
    </w:p>
    <w:p>
      <w:pPr>
        <w:spacing w:before="120" w:beforeLines="50" w:after="240" w:afterLines="100" w:line="360" w:lineRule="auto"/>
        <w:outlineLvl w:val="3"/>
        <w:rPr>
          <w:rFonts w:ascii="宋体" w:hAnsi="宋体"/>
          <w:color w:val="auto"/>
          <w:szCs w:val="21"/>
          <w:highlight w:val="none"/>
        </w:rPr>
      </w:pPr>
      <w:r>
        <w:rPr>
          <w:rFonts w:hint="eastAsia" w:ascii="宋体" w:hAnsi="宋体"/>
          <w:color w:val="auto"/>
          <w:szCs w:val="21"/>
          <w:highlight w:val="none"/>
        </w:rPr>
        <w:t>附表五：施工总平面图</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投标人应提交一份施工总平面图，绘出现场临时设施布置图表并附文字说明，说明临时设施、加工车间、现场办公、设备及仓储、供电、供水、卫生、生活、道路、消防等设施的情况和布置。</w:t>
      </w:r>
    </w:p>
    <w:p>
      <w:pPr>
        <w:spacing w:before="120" w:beforeLines="50" w:after="240" w:afterLines="100" w:line="360" w:lineRule="auto"/>
        <w:rPr>
          <w:rFonts w:ascii="宋体" w:hAnsi="宋体"/>
          <w:color w:val="auto"/>
          <w:szCs w:val="21"/>
          <w:highlight w:val="none"/>
        </w:rPr>
      </w:pPr>
    </w:p>
    <w:p>
      <w:pPr>
        <w:spacing w:before="120" w:beforeLines="50" w:after="240" w:afterLines="100" w:line="360" w:lineRule="auto"/>
        <w:outlineLvl w:val="3"/>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附表六：临时用地表</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用  途</w:t>
            </w:r>
          </w:p>
        </w:tc>
        <w:tc>
          <w:tcPr>
            <w:tcW w:w="2079"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面 积（M</w:t>
            </w:r>
            <w:r>
              <w:rPr>
                <w:rFonts w:hint="eastAsia" w:ascii="宋体" w:hAnsi="宋体"/>
                <w:color w:val="auto"/>
                <w:szCs w:val="21"/>
                <w:highlight w:val="none"/>
                <w:vertAlign w:val="superscript"/>
              </w:rPr>
              <w:t>2</w:t>
            </w:r>
            <w:r>
              <w:rPr>
                <w:rFonts w:hint="eastAsia" w:ascii="宋体" w:hAnsi="宋体"/>
                <w:color w:val="auto"/>
                <w:szCs w:val="21"/>
                <w:highlight w:val="none"/>
              </w:rPr>
              <w:t>）</w:t>
            </w:r>
          </w:p>
        </w:tc>
        <w:tc>
          <w:tcPr>
            <w:tcW w:w="2079"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位  置</w:t>
            </w:r>
          </w:p>
        </w:tc>
        <w:tc>
          <w:tcPr>
            <w:tcW w:w="2079"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c>
          <w:tcPr>
            <w:tcW w:w="2079" w:type="dxa"/>
          </w:tcPr>
          <w:p>
            <w:pPr>
              <w:spacing w:line="360" w:lineRule="auto"/>
              <w:rPr>
                <w:rFonts w:ascii="宋体" w:hAnsi="宋体"/>
                <w:color w:val="auto"/>
                <w:szCs w:val="21"/>
                <w:highlight w:val="none"/>
              </w:rPr>
            </w:pPr>
          </w:p>
        </w:tc>
      </w:tr>
    </w:tbl>
    <w:p>
      <w:pPr>
        <w:spacing w:line="360" w:lineRule="auto"/>
        <w:rPr>
          <w:rFonts w:ascii="宋体" w:hAnsi="宋体"/>
          <w:color w:val="auto"/>
          <w:szCs w:val="21"/>
          <w:highlight w:val="none"/>
        </w:rPr>
      </w:pPr>
    </w:p>
    <w:p>
      <w:pPr>
        <w:spacing w:before="120" w:beforeLines="50" w:after="120" w:afterLines="50" w:line="360" w:lineRule="auto"/>
        <w:rPr>
          <w:rFonts w:ascii="宋体" w:hAnsi="宋体"/>
          <w:color w:val="auto"/>
          <w:szCs w:val="21"/>
          <w:highlight w:val="none"/>
        </w:rPr>
      </w:pPr>
    </w:p>
    <w:p>
      <w:pPr>
        <w:spacing w:before="120" w:beforeLines="50" w:after="120" w:afterLines="50" w:line="360" w:lineRule="auto"/>
        <w:rPr>
          <w:rFonts w:ascii="宋体" w:hAnsi="宋体"/>
          <w:color w:val="auto"/>
          <w:szCs w:val="21"/>
          <w:highlight w:val="none"/>
        </w:rPr>
      </w:pPr>
    </w:p>
    <w:p>
      <w:pPr>
        <w:widowControl/>
        <w:jc w:val="left"/>
        <w:rPr>
          <w:rFonts w:ascii="宋体" w:hAnsi="宋体"/>
          <w:color w:val="auto"/>
          <w:szCs w:val="21"/>
          <w:highlight w:val="none"/>
        </w:rPr>
      </w:pPr>
      <w:r>
        <w:rPr>
          <w:rFonts w:ascii="宋体" w:hAnsi="宋体"/>
          <w:color w:val="auto"/>
          <w:szCs w:val="21"/>
          <w:highlight w:val="none"/>
        </w:rPr>
        <w:br w:type="page"/>
      </w:r>
    </w:p>
    <w:p>
      <w:pPr>
        <w:spacing w:line="500" w:lineRule="exact"/>
        <w:outlineLvl w:val="3"/>
        <w:rPr>
          <w:rFonts w:ascii="Cambria" w:hAnsi="Cambria"/>
          <w:bCs/>
          <w:color w:val="auto"/>
          <w:szCs w:val="28"/>
          <w:highlight w:val="none"/>
        </w:rPr>
      </w:pPr>
      <w:r>
        <w:rPr>
          <w:rFonts w:ascii="Cambria" w:hAnsi="Cambria"/>
          <w:bCs/>
          <w:color w:val="auto"/>
          <w:szCs w:val="28"/>
          <w:highlight w:val="none"/>
        </w:rPr>
        <w:t>附表七：</w:t>
      </w:r>
      <w:bookmarkStart w:id="273" w:name="_Hlk17882297"/>
      <w:r>
        <w:rPr>
          <w:rFonts w:hint="eastAsia" w:ascii="Cambria" w:hAnsi="Cambria"/>
          <w:bCs/>
          <w:color w:val="auto"/>
          <w:szCs w:val="28"/>
          <w:highlight w:val="none"/>
        </w:rPr>
        <w:t>拟分包项目一览表</w:t>
      </w:r>
      <w:bookmarkEnd w:id="273"/>
    </w:p>
    <w:tbl>
      <w:tblPr>
        <w:tblStyle w:val="41"/>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050"/>
        <w:gridCol w:w="851"/>
        <w:gridCol w:w="1175"/>
        <w:gridCol w:w="1283"/>
        <w:gridCol w:w="1544"/>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1296" w:type="dxa"/>
            <w:vAlign w:val="center"/>
          </w:tcPr>
          <w:p>
            <w:pPr>
              <w:jc w:val="center"/>
              <w:rPr>
                <w:color w:val="auto"/>
                <w:szCs w:val="21"/>
                <w:highlight w:val="none"/>
              </w:rPr>
            </w:pPr>
            <w:r>
              <w:rPr>
                <w:rFonts w:hint="eastAsia"/>
                <w:color w:val="auto"/>
                <w:szCs w:val="21"/>
                <w:highlight w:val="none"/>
              </w:rPr>
              <w:t>分包项目</w:t>
            </w:r>
          </w:p>
        </w:tc>
        <w:tc>
          <w:tcPr>
            <w:tcW w:w="1050" w:type="dxa"/>
            <w:vAlign w:val="center"/>
          </w:tcPr>
          <w:p>
            <w:pPr>
              <w:jc w:val="center"/>
              <w:rPr>
                <w:color w:val="auto"/>
                <w:szCs w:val="21"/>
                <w:highlight w:val="none"/>
              </w:rPr>
            </w:pPr>
            <w:r>
              <w:rPr>
                <w:rFonts w:hint="eastAsia"/>
                <w:color w:val="auto"/>
                <w:szCs w:val="21"/>
                <w:highlight w:val="none"/>
              </w:rPr>
              <w:t>主要内容</w:t>
            </w:r>
          </w:p>
        </w:tc>
        <w:tc>
          <w:tcPr>
            <w:tcW w:w="851" w:type="dxa"/>
            <w:vAlign w:val="center"/>
          </w:tcPr>
          <w:p>
            <w:pPr>
              <w:jc w:val="center"/>
              <w:rPr>
                <w:color w:val="auto"/>
                <w:szCs w:val="21"/>
                <w:highlight w:val="none"/>
              </w:rPr>
            </w:pPr>
            <w:r>
              <w:rPr>
                <w:rFonts w:hint="eastAsia"/>
                <w:color w:val="auto"/>
                <w:szCs w:val="21"/>
                <w:highlight w:val="none"/>
              </w:rPr>
              <w:t>预计工程金额</w:t>
            </w:r>
          </w:p>
        </w:tc>
        <w:tc>
          <w:tcPr>
            <w:tcW w:w="1175" w:type="dxa"/>
            <w:vAlign w:val="center"/>
          </w:tcPr>
          <w:p>
            <w:pPr>
              <w:jc w:val="center"/>
              <w:rPr>
                <w:color w:val="auto"/>
                <w:szCs w:val="21"/>
                <w:highlight w:val="none"/>
              </w:rPr>
            </w:pPr>
            <w:r>
              <w:rPr>
                <w:rFonts w:hint="eastAsia"/>
                <w:color w:val="auto"/>
                <w:szCs w:val="21"/>
                <w:highlight w:val="none"/>
              </w:rPr>
              <w:t>拟委托</w:t>
            </w:r>
          </w:p>
          <w:p>
            <w:pPr>
              <w:jc w:val="center"/>
              <w:rPr>
                <w:color w:val="auto"/>
                <w:szCs w:val="21"/>
                <w:highlight w:val="none"/>
              </w:rPr>
            </w:pPr>
            <w:r>
              <w:rPr>
                <w:rFonts w:hint="eastAsia"/>
                <w:color w:val="auto"/>
                <w:szCs w:val="21"/>
                <w:highlight w:val="none"/>
              </w:rPr>
              <w:t>企业名称</w:t>
            </w:r>
          </w:p>
        </w:tc>
        <w:tc>
          <w:tcPr>
            <w:tcW w:w="1283" w:type="dxa"/>
            <w:vAlign w:val="center"/>
          </w:tcPr>
          <w:p>
            <w:pPr>
              <w:jc w:val="center"/>
              <w:rPr>
                <w:color w:val="auto"/>
                <w:szCs w:val="21"/>
                <w:highlight w:val="none"/>
              </w:rPr>
            </w:pPr>
            <w:r>
              <w:rPr>
                <w:rFonts w:hint="eastAsia"/>
                <w:color w:val="auto"/>
                <w:szCs w:val="21"/>
                <w:highlight w:val="none"/>
              </w:rPr>
              <w:t>拟委托</w:t>
            </w:r>
          </w:p>
          <w:p>
            <w:pPr>
              <w:jc w:val="center"/>
              <w:rPr>
                <w:color w:val="auto"/>
                <w:szCs w:val="21"/>
                <w:highlight w:val="none"/>
              </w:rPr>
            </w:pPr>
            <w:r>
              <w:rPr>
                <w:rFonts w:hint="eastAsia"/>
                <w:color w:val="auto"/>
                <w:szCs w:val="21"/>
                <w:highlight w:val="none"/>
              </w:rPr>
              <w:t>企业资质</w:t>
            </w:r>
          </w:p>
        </w:tc>
        <w:tc>
          <w:tcPr>
            <w:tcW w:w="1544" w:type="dxa"/>
            <w:vAlign w:val="center"/>
          </w:tcPr>
          <w:p>
            <w:pPr>
              <w:jc w:val="center"/>
              <w:rPr>
                <w:color w:val="auto"/>
                <w:szCs w:val="21"/>
                <w:highlight w:val="none"/>
              </w:rPr>
            </w:pPr>
            <w:r>
              <w:rPr>
                <w:rFonts w:hint="eastAsia"/>
                <w:color w:val="auto"/>
                <w:szCs w:val="21"/>
                <w:highlight w:val="none"/>
              </w:rPr>
              <w:t>拟设项目负责人资格</w:t>
            </w:r>
          </w:p>
        </w:tc>
        <w:tc>
          <w:tcPr>
            <w:tcW w:w="1359" w:type="dxa"/>
            <w:vAlign w:val="center"/>
          </w:tcPr>
          <w:p>
            <w:pPr>
              <w:jc w:val="center"/>
              <w:rPr>
                <w:color w:val="auto"/>
                <w:szCs w:val="21"/>
                <w:highlight w:val="none"/>
              </w:rPr>
            </w:pPr>
            <w:r>
              <w:rPr>
                <w:rFonts w:hint="eastAsia"/>
                <w:color w:val="auto"/>
                <w:szCs w:val="21"/>
                <w:highlight w:val="none"/>
              </w:rPr>
              <w:t>类似工程情况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1296" w:type="dxa"/>
            <w:vAlign w:val="center"/>
          </w:tcPr>
          <w:p>
            <w:pPr>
              <w:rPr>
                <w:color w:val="auto"/>
                <w:szCs w:val="21"/>
                <w:highlight w:val="none"/>
              </w:rPr>
            </w:pPr>
          </w:p>
        </w:tc>
        <w:tc>
          <w:tcPr>
            <w:tcW w:w="1050" w:type="dxa"/>
            <w:vAlign w:val="center"/>
          </w:tcPr>
          <w:p>
            <w:pPr>
              <w:rPr>
                <w:color w:val="auto"/>
                <w:szCs w:val="21"/>
                <w:highlight w:val="none"/>
              </w:rPr>
            </w:pPr>
          </w:p>
        </w:tc>
        <w:tc>
          <w:tcPr>
            <w:tcW w:w="851" w:type="dxa"/>
            <w:vAlign w:val="center"/>
          </w:tcPr>
          <w:p>
            <w:pPr>
              <w:rPr>
                <w:color w:val="auto"/>
                <w:szCs w:val="21"/>
                <w:highlight w:val="none"/>
              </w:rPr>
            </w:pPr>
          </w:p>
        </w:tc>
        <w:tc>
          <w:tcPr>
            <w:tcW w:w="1175" w:type="dxa"/>
          </w:tcPr>
          <w:p>
            <w:pPr>
              <w:rPr>
                <w:color w:val="auto"/>
                <w:szCs w:val="21"/>
                <w:highlight w:val="none"/>
              </w:rPr>
            </w:pPr>
          </w:p>
        </w:tc>
        <w:tc>
          <w:tcPr>
            <w:tcW w:w="1283" w:type="dxa"/>
            <w:vAlign w:val="center"/>
          </w:tcPr>
          <w:p>
            <w:pPr>
              <w:rPr>
                <w:color w:val="auto"/>
                <w:szCs w:val="21"/>
                <w:highlight w:val="none"/>
              </w:rPr>
            </w:pPr>
          </w:p>
        </w:tc>
        <w:tc>
          <w:tcPr>
            <w:tcW w:w="1544" w:type="dxa"/>
            <w:vAlign w:val="center"/>
          </w:tcPr>
          <w:p>
            <w:pPr>
              <w:rPr>
                <w:color w:val="auto"/>
                <w:szCs w:val="21"/>
                <w:highlight w:val="none"/>
              </w:rPr>
            </w:pPr>
          </w:p>
        </w:tc>
        <w:tc>
          <w:tcPr>
            <w:tcW w:w="1359" w:type="dxa"/>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1296" w:type="dxa"/>
            <w:vAlign w:val="center"/>
          </w:tcPr>
          <w:p>
            <w:pPr>
              <w:rPr>
                <w:color w:val="auto"/>
                <w:szCs w:val="21"/>
                <w:highlight w:val="none"/>
              </w:rPr>
            </w:pPr>
          </w:p>
        </w:tc>
        <w:tc>
          <w:tcPr>
            <w:tcW w:w="1050" w:type="dxa"/>
            <w:vAlign w:val="center"/>
          </w:tcPr>
          <w:p>
            <w:pPr>
              <w:rPr>
                <w:color w:val="auto"/>
                <w:szCs w:val="21"/>
                <w:highlight w:val="none"/>
              </w:rPr>
            </w:pPr>
          </w:p>
        </w:tc>
        <w:tc>
          <w:tcPr>
            <w:tcW w:w="851" w:type="dxa"/>
            <w:vAlign w:val="center"/>
          </w:tcPr>
          <w:p>
            <w:pPr>
              <w:rPr>
                <w:color w:val="auto"/>
                <w:szCs w:val="21"/>
                <w:highlight w:val="none"/>
              </w:rPr>
            </w:pPr>
          </w:p>
        </w:tc>
        <w:tc>
          <w:tcPr>
            <w:tcW w:w="1175" w:type="dxa"/>
          </w:tcPr>
          <w:p>
            <w:pPr>
              <w:rPr>
                <w:color w:val="auto"/>
                <w:szCs w:val="21"/>
                <w:highlight w:val="none"/>
              </w:rPr>
            </w:pPr>
          </w:p>
        </w:tc>
        <w:tc>
          <w:tcPr>
            <w:tcW w:w="1283" w:type="dxa"/>
            <w:vAlign w:val="center"/>
          </w:tcPr>
          <w:p>
            <w:pPr>
              <w:rPr>
                <w:color w:val="auto"/>
                <w:szCs w:val="21"/>
                <w:highlight w:val="none"/>
              </w:rPr>
            </w:pPr>
          </w:p>
        </w:tc>
        <w:tc>
          <w:tcPr>
            <w:tcW w:w="1544" w:type="dxa"/>
            <w:vAlign w:val="center"/>
          </w:tcPr>
          <w:p>
            <w:pPr>
              <w:rPr>
                <w:color w:val="auto"/>
                <w:szCs w:val="21"/>
                <w:highlight w:val="none"/>
              </w:rPr>
            </w:pPr>
          </w:p>
        </w:tc>
        <w:tc>
          <w:tcPr>
            <w:tcW w:w="1359" w:type="dxa"/>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1296" w:type="dxa"/>
            <w:vAlign w:val="center"/>
          </w:tcPr>
          <w:p>
            <w:pPr>
              <w:rPr>
                <w:color w:val="auto"/>
                <w:szCs w:val="21"/>
                <w:highlight w:val="none"/>
              </w:rPr>
            </w:pPr>
          </w:p>
        </w:tc>
        <w:tc>
          <w:tcPr>
            <w:tcW w:w="1050" w:type="dxa"/>
            <w:vAlign w:val="center"/>
          </w:tcPr>
          <w:p>
            <w:pPr>
              <w:rPr>
                <w:color w:val="auto"/>
                <w:szCs w:val="21"/>
                <w:highlight w:val="none"/>
              </w:rPr>
            </w:pPr>
          </w:p>
        </w:tc>
        <w:tc>
          <w:tcPr>
            <w:tcW w:w="851" w:type="dxa"/>
            <w:vAlign w:val="center"/>
          </w:tcPr>
          <w:p>
            <w:pPr>
              <w:rPr>
                <w:color w:val="auto"/>
                <w:szCs w:val="21"/>
                <w:highlight w:val="none"/>
              </w:rPr>
            </w:pPr>
          </w:p>
        </w:tc>
        <w:tc>
          <w:tcPr>
            <w:tcW w:w="1175" w:type="dxa"/>
          </w:tcPr>
          <w:p>
            <w:pPr>
              <w:rPr>
                <w:color w:val="auto"/>
                <w:szCs w:val="21"/>
                <w:highlight w:val="none"/>
              </w:rPr>
            </w:pPr>
          </w:p>
        </w:tc>
        <w:tc>
          <w:tcPr>
            <w:tcW w:w="1283" w:type="dxa"/>
            <w:vAlign w:val="center"/>
          </w:tcPr>
          <w:p>
            <w:pPr>
              <w:rPr>
                <w:color w:val="auto"/>
                <w:szCs w:val="21"/>
                <w:highlight w:val="none"/>
              </w:rPr>
            </w:pPr>
          </w:p>
        </w:tc>
        <w:tc>
          <w:tcPr>
            <w:tcW w:w="1544" w:type="dxa"/>
            <w:vAlign w:val="center"/>
          </w:tcPr>
          <w:p>
            <w:pPr>
              <w:rPr>
                <w:color w:val="auto"/>
                <w:szCs w:val="21"/>
                <w:highlight w:val="none"/>
              </w:rPr>
            </w:pPr>
          </w:p>
        </w:tc>
        <w:tc>
          <w:tcPr>
            <w:tcW w:w="1359" w:type="dxa"/>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1296" w:type="dxa"/>
            <w:vAlign w:val="center"/>
          </w:tcPr>
          <w:p>
            <w:pPr>
              <w:rPr>
                <w:color w:val="auto"/>
                <w:szCs w:val="21"/>
                <w:highlight w:val="none"/>
              </w:rPr>
            </w:pPr>
          </w:p>
        </w:tc>
        <w:tc>
          <w:tcPr>
            <w:tcW w:w="1050" w:type="dxa"/>
            <w:vAlign w:val="center"/>
          </w:tcPr>
          <w:p>
            <w:pPr>
              <w:rPr>
                <w:color w:val="auto"/>
                <w:szCs w:val="21"/>
                <w:highlight w:val="none"/>
              </w:rPr>
            </w:pPr>
          </w:p>
        </w:tc>
        <w:tc>
          <w:tcPr>
            <w:tcW w:w="851" w:type="dxa"/>
            <w:vAlign w:val="center"/>
          </w:tcPr>
          <w:p>
            <w:pPr>
              <w:rPr>
                <w:color w:val="auto"/>
                <w:szCs w:val="21"/>
                <w:highlight w:val="none"/>
              </w:rPr>
            </w:pPr>
          </w:p>
        </w:tc>
        <w:tc>
          <w:tcPr>
            <w:tcW w:w="1175" w:type="dxa"/>
          </w:tcPr>
          <w:p>
            <w:pPr>
              <w:rPr>
                <w:color w:val="auto"/>
                <w:szCs w:val="21"/>
                <w:highlight w:val="none"/>
              </w:rPr>
            </w:pPr>
          </w:p>
        </w:tc>
        <w:tc>
          <w:tcPr>
            <w:tcW w:w="1283" w:type="dxa"/>
            <w:vAlign w:val="center"/>
          </w:tcPr>
          <w:p>
            <w:pPr>
              <w:rPr>
                <w:color w:val="auto"/>
                <w:szCs w:val="21"/>
                <w:highlight w:val="none"/>
              </w:rPr>
            </w:pPr>
          </w:p>
        </w:tc>
        <w:tc>
          <w:tcPr>
            <w:tcW w:w="1544" w:type="dxa"/>
            <w:vAlign w:val="center"/>
          </w:tcPr>
          <w:p>
            <w:pPr>
              <w:rPr>
                <w:color w:val="auto"/>
                <w:szCs w:val="21"/>
                <w:highlight w:val="none"/>
              </w:rPr>
            </w:pPr>
          </w:p>
        </w:tc>
        <w:tc>
          <w:tcPr>
            <w:tcW w:w="1359" w:type="dxa"/>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1296" w:type="dxa"/>
            <w:vAlign w:val="center"/>
          </w:tcPr>
          <w:p>
            <w:pPr>
              <w:rPr>
                <w:color w:val="auto"/>
                <w:szCs w:val="21"/>
                <w:highlight w:val="none"/>
              </w:rPr>
            </w:pPr>
          </w:p>
        </w:tc>
        <w:tc>
          <w:tcPr>
            <w:tcW w:w="1050" w:type="dxa"/>
            <w:vAlign w:val="center"/>
          </w:tcPr>
          <w:p>
            <w:pPr>
              <w:rPr>
                <w:color w:val="auto"/>
                <w:szCs w:val="21"/>
                <w:highlight w:val="none"/>
              </w:rPr>
            </w:pPr>
          </w:p>
        </w:tc>
        <w:tc>
          <w:tcPr>
            <w:tcW w:w="851" w:type="dxa"/>
            <w:vAlign w:val="center"/>
          </w:tcPr>
          <w:p>
            <w:pPr>
              <w:rPr>
                <w:color w:val="auto"/>
                <w:szCs w:val="21"/>
                <w:highlight w:val="none"/>
              </w:rPr>
            </w:pPr>
          </w:p>
        </w:tc>
        <w:tc>
          <w:tcPr>
            <w:tcW w:w="1175" w:type="dxa"/>
          </w:tcPr>
          <w:p>
            <w:pPr>
              <w:rPr>
                <w:color w:val="auto"/>
                <w:szCs w:val="21"/>
                <w:highlight w:val="none"/>
              </w:rPr>
            </w:pPr>
          </w:p>
        </w:tc>
        <w:tc>
          <w:tcPr>
            <w:tcW w:w="1283" w:type="dxa"/>
            <w:vAlign w:val="center"/>
          </w:tcPr>
          <w:p>
            <w:pPr>
              <w:rPr>
                <w:color w:val="auto"/>
                <w:szCs w:val="21"/>
                <w:highlight w:val="none"/>
              </w:rPr>
            </w:pPr>
          </w:p>
        </w:tc>
        <w:tc>
          <w:tcPr>
            <w:tcW w:w="1544" w:type="dxa"/>
            <w:vAlign w:val="center"/>
          </w:tcPr>
          <w:p>
            <w:pPr>
              <w:rPr>
                <w:color w:val="auto"/>
                <w:szCs w:val="21"/>
                <w:highlight w:val="none"/>
              </w:rPr>
            </w:pPr>
          </w:p>
        </w:tc>
        <w:tc>
          <w:tcPr>
            <w:tcW w:w="1359" w:type="dxa"/>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1296" w:type="dxa"/>
            <w:vAlign w:val="center"/>
          </w:tcPr>
          <w:p>
            <w:pPr>
              <w:rPr>
                <w:color w:val="auto"/>
                <w:szCs w:val="21"/>
                <w:highlight w:val="none"/>
              </w:rPr>
            </w:pPr>
          </w:p>
        </w:tc>
        <w:tc>
          <w:tcPr>
            <w:tcW w:w="1050" w:type="dxa"/>
            <w:vAlign w:val="center"/>
          </w:tcPr>
          <w:p>
            <w:pPr>
              <w:rPr>
                <w:color w:val="auto"/>
                <w:szCs w:val="21"/>
                <w:highlight w:val="none"/>
              </w:rPr>
            </w:pPr>
          </w:p>
        </w:tc>
        <w:tc>
          <w:tcPr>
            <w:tcW w:w="851" w:type="dxa"/>
            <w:vAlign w:val="center"/>
          </w:tcPr>
          <w:p>
            <w:pPr>
              <w:rPr>
                <w:color w:val="auto"/>
                <w:szCs w:val="21"/>
                <w:highlight w:val="none"/>
              </w:rPr>
            </w:pPr>
          </w:p>
        </w:tc>
        <w:tc>
          <w:tcPr>
            <w:tcW w:w="1175" w:type="dxa"/>
          </w:tcPr>
          <w:p>
            <w:pPr>
              <w:rPr>
                <w:color w:val="auto"/>
                <w:szCs w:val="21"/>
                <w:highlight w:val="none"/>
              </w:rPr>
            </w:pPr>
          </w:p>
        </w:tc>
        <w:tc>
          <w:tcPr>
            <w:tcW w:w="1283" w:type="dxa"/>
            <w:vAlign w:val="center"/>
          </w:tcPr>
          <w:p>
            <w:pPr>
              <w:rPr>
                <w:color w:val="auto"/>
                <w:szCs w:val="21"/>
                <w:highlight w:val="none"/>
              </w:rPr>
            </w:pPr>
          </w:p>
        </w:tc>
        <w:tc>
          <w:tcPr>
            <w:tcW w:w="1544" w:type="dxa"/>
            <w:vAlign w:val="center"/>
          </w:tcPr>
          <w:p>
            <w:pPr>
              <w:rPr>
                <w:color w:val="auto"/>
                <w:szCs w:val="21"/>
                <w:highlight w:val="none"/>
              </w:rPr>
            </w:pPr>
          </w:p>
        </w:tc>
        <w:tc>
          <w:tcPr>
            <w:tcW w:w="1359" w:type="dxa"/>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1296" w:type="dxa"/>
            <w:vAlign w:val="center"/>
          </w:tcPr>
          <w:p>
            <w:pPr>
              <w:rPr>
                <w:color w:val="auto"/>
                <w:szCs w:val="21"/>
                <w:highlight w:val="none"/>
              </w:rPr>
            </w:pPr>
          </w:p>
        </w:tc>
        <w:tc>
          <w:tcPr>
            <w:tcW w:w="1050" w:type="dxa"/>
            <w:vAlign w:val="center"/>
          </w:tcPr>
          <w:p>
            <w:pPr>
              <w:rPr>
                <w:color w:val="auto"/>
                <w:szCs w:val="21"/>
                <w:highlight w:val="none"/>
              </w:rPr>
            </w:pPr>
          </w:p>
        </w:tc>
        <w:tc>
          <w:tcPr>
            <w:tcW w:w="851" w:type="dxa"/>
            <w:vAlign w:val="center"/>
          </w:tcPr>
          <w:p>
            <w:pPr>
              <w:rPr>
                <w:color w:val="auto"/>
                <w:szCs w:val="21"/>
                <w:highlight w:val="none"/>
              </w:rPr>
            </w:pPr>
          </w:p>
        </w:tc>
        <w:tc>
          <w:tcPr>
            <w:tcW w:w="1175" w:type="dxa"/>
          </w:tcPr>
          <w:p>
            <w:pPr>
              <w:rPr>
                <w:color w:val="auto"/>
                <w:szCs w:val="21"/>
                <w:highlight w:val="none"/>
              </w:rPr>
            </w:pPr>
          </w:p>
        </w:tc>
        <w:tc>
          <w:tcPr>
            <w:tcW w:w="1283" w:type="dxa"/>
            <w:vAlign w:val="center"/>
          </w:tcPr>
          <w:p>
            <w:pPr>
              <w:rPr>
                <w:color w:val="auto"/>
                <w:szCs w:val="21"/>
                <w:highlight w:val="none"/>
              </w:rPr>
            </w:pPr>
          </w:p>
        </w:tc>
        <w:tc>
          <w:tcPr>
            <w:tcW w:w="1544" w:type="dxa"/>
            <w:vAlign w:val="center"/>
          </w:tcPr>
          <w:p>
            <w:pPr>
              <w:rPr>
                <w:color w:val="auto"/>
                <w:szCs w:val="21"/>
                <w:highlight w:val="none"/>
              </w:rPr>
            </w:pPr>
          </w:p>
        </w:tc>
        <w:tc>
          <w:tcPr>
            <w:tcW w:w="1359" w:type="dxa"/>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1296" w:type="dxa"/>
            <w:vAlign w:val="center"/>
          </w:tcPr>
          <w:p>
            <w:pPr>
              <w:rPr>
                <w:color w:val="auto"/>
                <w:szCs w:val="21"/>
                <w:highlight w:val="none"/>
              </w:rPr>
            </w:pPr>
          </w:p>
        </w:tc>
        <w:tc>
          <w:tcPr>
            <w:tcW w:w="1050" w:type="dxa"/>
            <w:vAlign w:val="center"/>
          </w:tcPr>
          <w:p>
            <w:pPr>
              <w:rPr>
                <w:color w:val="auto"/>
                <w:szCs w:val="21"/>
                <w:highlight w:val="none"/>
              </w:rPr>
            </w:pPr>
          </w:p>
        </w:tc>
        <w:tc>
          <w:tcPr>
            <w:tcW w:w="851" w:type="dxa"/>
            <w:vAlign w:val="center"/>
          </w:tcPr>
          <w:p>
            <w:pPr>
              <w:rPr>
                <w:color w:val="auto"/>
                <w:szCs w:val="21"/>
                <w:highlight w:val="none"/>
              </w:rPr>
            </w:pPr>
          </w:p>
        </w:tc>
        <w:tc>
          <w:tcPr>
            <w:tcW w:w="1175" w:type="dxa"/>
          </w:tcPr>
          <w:p>
            <w:pPr>
              <w:rPr>
                <w:color w:val="auto"/>
                <w:szCs w:val="21"/>
                <w:highlight w:val="none"/>
              </w:rPr>
            </w:pPr>
          </w:p>
        </w:tc>
        <w:tc>
          <w:tcPr>
            <w:tcW w:w="1283" w:type="dxa"/>
            <w:vAlign w:val="center"/>
          </w:tcPr>
          <w:p>
            <w:pPr>
              <w:rPr>
                <w:color w:val="auto"/>
                <w:szCs w:val="21"/>
                <w:highlight w:val="none"/>
              </w:rPr>
            </w:pPr>
          </w:p>
        </w:tc>
        <w:tc>
          <w:tcPr>
            <w:tcW w:w="1544" w:type="dxa"/>
            <w:vAlign w:val="center"/>
          </w:tcPr>
          <w:p>
            <w:pPr>
              <w:rPr>
                <w:color w:val="auto"/>
                <w:szCs w:val="21"/>
                <w:highlight w:val="none"/>
              </w:rPr>
            </w:pPr>
          </w:p>
        </w:tc>
        <w:tc>
          <w:tcPr>
            <w:tcW w:w="1359" w:type="dxa"/>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1296" w:type="dxa"/>
            <w:vAlign w:val="center"/>
          </w:tcPr>
          <w:p>
            <w:pPr>
              <w:rPr>
                <w:color w:val="auto"/>
                <w:szCs w:val="21"/>
                <w:highlight w:val="none"/>
              </w:rPr>
            </w:pPr>
          </w:p>
        </w:tc>
        <w:tc>
          <w:tcPr>
            <w:tcW w:w="1050" w:type="dxa"/>
            <w:vAlign w:val="center"/>
          </w:tcPr>
          <w:p>
            <w:pPr>
              <w:rPr>
                <w:color w:val="auto"/>
                <w:szCs w:val="21"/>
                <w:highlight w:val="none"/>
              </w:rPr>
            </w:pPr>
          </w:p>
        </w:tc>
        <w:tc>
          <w:tcPr>
            <w:tcW w:w="851" w:type="dxa"/>
            <w:vAlign w:val="center"/>
          </w:tcPr>
          <w:p>
            <w:pPr>
              <w:rPr>
                <w:color w:val="auto"/>
                <w:szCs w:val="21"/>
                <w:highlight w:val="none"/>
              </w:rPr>
            </w:pPr>
          </w:p>
        </w:tc>
        <w:tc>
          <w:tcPr>
            <w:tcW w:w="1175" w:type="dxa"/>
          </w:tcPr>
          <w:p>
            <w:pPr>
              <w:rPr>
                <w:color w:val="auto"/>
                <w:szCs w:val="21"/>
                <w:highlight w:val="none"/>
              </w:rPr>
            </w:pPr>
          </w:p>
        </w:tc>
        <w:tc>
          <w:tcPr>
            <w:tcW w:w="1283" w:type="dxa"/>
            <w:vAlign w:val="center"/>
          </w:tcPr>
          <w:p>
            <w:pPr>
              <w:rPr>
                <w:color w:val="auto"/>
                <w:szCs w:val="21"/>
                <w:highlight w:val="none"/>
              </w:rPr>
            </w:pPr>
          </w:p>
        </w:tc>
        <w:tc>
          <w:tcPr>
            <w:tcW w:w="1544" w:type="dxa"/>
            <w:vAlign w:val="center"/>
          </w:tcPr>
          <w:p>
            <w:pPr>
              <w:rPr>
                <w:color w:val="auto"/>
                <w:szCs w:val="21"/>
                <w:highlight w:val="none"/>
              </w:rPr>
            </w:pPr>
          </w:p>
        </w:tc>
        <w:tc>
          <w:tcPr>
            <w:tcW w:w="1359" w:type="dxa"/>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1296" w:type="dxa"/>
            <w:vAlign w:val="center"/>
          </w:tcPr>
          <w:p>
            <w:pPr>
              <w:rPr>
                <w:color w:val="auto"/>
                <w:szCs w:val="21"/>
                <w:highlight w:val="none"/>
              </w:rPr>
            </w:pPr>
          </w:p>
        </w:tc>
        <w:tc>
          <w:tcPr>
            <w:tcW w:w="1050" w:type="dxa"/>
            <w:vAlign w:val="center"/>
          </w:tcPr>
          <w:p>
            <w:pPr>
              <w:rPr>
                <w:color w:val="auto"/>
                <w:szCs w:val="21"/>
                <w:highlight w:val="none"/>
              </w:rPr>
            </w:pPr>
          </w:p>
        </w:tc>
        <w:tc>
          <w:tcPr>
            <w:tcW w:w="851" w:type="dxa"/>
            <w:vAlign w:val="center"/>
          </w:tcPr>
          <w:p>
            <w:pPr>
              <w:rPr>
                <w:color w:val="auto"/>
                <w:szCs w:val="21"/>
                <w:highlight w:val="none"/>
              </w:rPr>
            </w:pPr>
          </w:p>
        </w:tc>
        <w:tc>
          <w:tcPr>
            <w:tcW w:w="1175" w:type="dxa"/>
          </w:tcPr>
          <w:p>
            <w:pPr>
              <w:rPr>
                <w:color w:val="auto"/>
                <w:szCs w:val="21"/>
                <w:highlight w:val="none"/>
              </w:rPr>
            </w:pPr>
          </w:p>
        </w:tc>
        <w:tc>
          <w:tcPr>
            <w:tcW w:w="1283" w:type="dxa"/>
            <w:vAlign w:val="center"/>
          </w:tcPr>
          <w:p>
            <w:pPr>
              <w:rPr>
                <w:color w:val="auto"/>
                <w:szCs w:val="21"/>
                <w:highlight w:val="none"/>
              </w:rPr>
            </w:pPr>
          </w:p>
        </w:tc>
        <w:tc>
          <w:tcPr>
            <w:tcW w:w="1544" w:type="dxa"/>
            <w:vAlign w:val="center"/>
          </w:tcPr>
          <w:p>
            <w:pPr>
              <w:rPr>
                <w:color w:val="auto"/>
                <w:szCs w:val="21"/>
                <w:highlight w:val="none"/>
              </w:rPr>
            </w:pPr>
          </w:p>
        </w:tc>
        <w:tc>
          <w:tcPr>
            <w:tcW w:w="1359" w:type="dxa"/>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1296" w:type="dxa"/>
            <w:vAlign w:val="center"/>
          </w:tcPr>
          <w:p>
            <w:pPr>
              <w:rPr>
                <w:color w:val="auto"/>
                <w:szCs w:val="21"/>
                <w:highlight w:val="none"/>
              </w:rPr>
            </w:pPr>
          </w:p>
        </w:tc>
        <w:tc>
          <w:tcPr>
            <w:tcW w:w="1050" w:type="dxa"/>
            <w:vAlign w:val="center"/>
          </w:tcPr>
          <w:p>
            <w:pPr>
              <w:rPr>
                <w:color w:val="auto"/>
                <w:szCs w:val="21"/>
                <w:highlight w:val="none"/>
              </w:rPr>
            </w:pPr>
          </w:p>
        </w:tc>
        <w:tc>
          <w:tcPr>
            <w:tcW w:w="851" w:type="dxa"/>
            <w:vAlign w:val="center"/>
          </w:tcPr>
          <w:p>
            <w:pPr>
              <w:rPr>
                <w:color w:val="auto"/>
                <w:szCs w:val="21"/>
                <w:highlight w:val="none"/>
              </w:rPr>
            </w:pPr>
          </w:p>
        </w:tc>
        <w:tc>
          <w:tcPr>
            <w:tcW w:w="1175" w:type="dxa"/>
          </w:tcPr>
          <w:p>
            <w:pPr>
              <w:rPr>
                <w:color w:val="auto"/>
                <w:szCs w:val="21"/>
                <w:highlight w:val="none"/>
              </w:rPr>
            </w:pPr>
          </w:p>
        </w:tc>
        <w:tc>
          <w:tcPr>
            <w:tcW w:w="1283" w:type="dxa"/>
            <w:vAlign w:val="center"/>
          </w:tcPr>
          <w:p>
            <w:pPr>
              <w:rPr>
                <w:color w:val="auto"/>
                <w:szCs w:val="21"/>
                <w:highlight w:val="none"/>
              </w:rPr>
            </w:pPr>
          </w:p>
        </w:tc>
        <w:tc>
          <w:tcPr>
            <w:tcW w:w="1544" w:type="dxa"/>
            <w:vAlign w:val="center"/>
          </w:tcPr>
          <w:p>
            <w:pPr>
              <w:rPr>
                <w:color w:val="auto"/>
                <w:szCs w:val="21"/>
                <w:highlight w:val="none"/>
              </w:rPr>
            </w:pPr>
          </w:p>
        </w:tc>
        <w:tc>
          <w:tcPr>
            <w:tcW w:w="1359" w:type="dxa"/>
            <w:vAlign w:val="center"/>
          </w:tcPr>
          <w:p>
            <w:pPr>
              <w:rPr>
                <w:color w:val="auto"/>
                <w:szCs w:val="21"/>
                <w:highlight w:val="none"/>
              </w:rPr>
            </w:pPr>
          </w:p>
        </w:tc>
      </w:tr>
    </w:tbl>
    <w:p>
      <w:pPr>
        <w:spacing w:before="120" w:beforeLines="50" w:after="120" w:afterLines="50" w:line="360" w:lineRule="auto"/>
        <w:rPr>
          <w:rFonts w:ascii="宋体" w:hAnsi="宋体"/>
          <w:color w:val="auto"/>
          <w:szCs w:val="21"/>
          <w:highlight w:val="none"/>
        </w:rPr>
      </w:pPr>
    </w:p>
    <w:p>
      <w:pPr>
        <w:pStyle w:val="4"/>
        <w:rPr>
          <w:color w:val="auto"/>
          <w:highlight w:val="none"/>
        </w:rPr>
      </w:pPr>
      <w:r>
        <w:rPr>
          <w:rFonts w:hint="eastAsia"/>
          <w:color w:val="auto"/>
          <w:highlight w:val="none"/>
        </w:rPr>
        <w:t>（二）其他材料</w:t>
      </w:r>
    </w:p>
    <w:p>
      <w:pPr>
        <w:tabs>
          <w:tab w:val="left" w:pos="0"/>
          <w:tab w:val="left" w:pos="360"/>
          <w:tab w:val="left" w:pos="54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投标人须知前附表规定的材料或投标人认为需要补充的其他内容，由投标人按实际情况提供或补充。</w:t>
      </w:r>
    </w:p>
    <w:p>
      <w:pPr>
        <w:spacing w:line="360" w:lineRule="auto"/>
        <w:jc w:val="left"/>
        <w:rPr>
          <w:rFonts w:ascii="宋体" w:hAnsi="宋体" w:cs="宋体"/>
          <w:color w:val="auto"/>
          <w:szCs w:val="21"/>
          <w:highlight w:val="none"/>
        </w:rPr>
      </w:pPr>
    </w:p>
    <w:p>
      <w:pPr>
        <w:rPr>
          <w:color w:val="auto"/>
          <w:highlight w:val="none"/>
        </w:rPr>
      </w:pPr>
    </w:p>
    <w:p>
      <w:pPr>
        <w:spacing w:before="120" w:beforeLines="50" w:after="240" w:afterLines="100" w:line="360" w:lineRule="auto"/>
        <w:outlineLvl w:val="3"/>
        <w:rPr>
          <w:rFonts w:asciiTheme="minorEastAsia" w:hAnsiTheme="minorEastAsia" w:eastAsiaTheme="minorEastAsia"/>
          <w:color w:val="auto"/>
          <w:szCs w:val="21"/>
          <w:highlight w:val="none"/>
        </w:rPr>
      </w:pPr>
    </w:p>
    <w:sectPr>
      <w:pgSz w:w="11906" w:h="16838"/>
      <w:pgMar w:top="1440" w:right="1644" w:bottom="1440" w:left="1797" w:header="851" w:footer="644"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uto" w:sz="4" w:space="0"/>
      </w:pBdr>
      <w:ind w:right="360"/>
    </w:pPr>
    <w:r>
      <w:rPr>
        <w:u w:val="single"/>
      </w:rPr>
      <mc:AlternateContent>
        <mc:Choice Requires="wpg">
          <w:drawing>
            <wp:anchor distT="0" distB="0" distL="114300" distR="114300" simplePos="0" relativeHeight="251660288" behindDoc="0" locked="0" layoutInCell="1" allowOverlap="1">
              <wp:simplePos x="0" y="0"/>
              <wp:positionH relativeFrom="column">
                <wp:posOffset>-71755</wp:posOffset>
              </wp:positionH>
              <wp:positionV relativeFrom="paragraph">
                <wp:posOffset>7620</wp:posOffset>
              </wp:positionV>
              <wp:extent cx="3967480" cy="533400"/>
              <wp:effectExtent l="4445" t="0" r="0" b="1905"/>
              <wp:wrapNone/>
              <wp:docPr id="1" name="Group 13"/>
              <wp:cNvGraphicFramePr/>
              <a:graphic xmlns:a="http://schemas.openxmlformats.org/drawingml/2006/main">
                <a:graphicData uri="http://schemas.microsoft.com/office/word/2010/wordprocessingGroup">
                  <wpg:wgp>
                    <wpg:cNvGrpSpPr/>
                    <wpg:grpSpPr>
                      <a:xfrm>
                        <a:off x="0" y="0"/>
                        <a:ext cx="3967480" cy="533400"/>
                        <a:chOff x="0" y="0"/>
                        <a:chExt cx="6637" cy="820"/>
                      </a:xfrm>
                    </wpg:grpSpPr>
                    <pic:pic xmlns:pic="http://schemas.openxmlformats.org/drawingml/2006/picture">
                      <pic:nvPicPr>
                        <pic:cNvPr id="3" name="Picture 14" descr="图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4" cy="615"/>
                        </a:xfrm>
                        <a:prstGeom prst="rect">
                          <a:avLst/>
                        </a:prstGeom>
                        <a:noFill/>
                      </pic:spPr>
                    </pic:pic>
                    <wps:wsp>
                      <wps:cNvPr id="5" name="Text Box 15"/>
                      <wps:cNvSpPr txBox="1">
                        <a:spLocks noChangeArrowheads="1"/>
                      </wps:cNvSpPr>
                      <wps:spPr bwMode="auto">
                        <a:xfrm>
                          <a:off x="945" y="0"/>
                          <a:ext cx="5692" cy="820"/>
                        </a:xfrm>
                        <a:prstGeom prst="rect">
                          <a:avLst/>
                        </a:prstGeom>
                        <a:noFill/>
                        <a:ln>
                          <a:noFill/>
                        </a:ln>
                      </wps:spPr>
                      <wps:txbx>
                        <w:txbxContent>
                          <w:p>
                            <w:pPr>
                              <w:pStyle w:val="28"/>
                              <w:rPr>
                                <w:rFonts w:eastAsia="幼圆"/>
                                <w:b/>
                              </w:rPr>
                            </w:pPr>
                            <w:r>
                              <w:rPr>
                                <w:rFonts w:hint="eastAsia" w:eastAsia="幼圆"/>
                                <w:b/>
                              </w:rPr>
                              <w:t>上 海 百 通 项 目 管 理 咨 询 有 限 公 司</w:t>
                            </w:r>
                          </w:p>
                          <w:p>
                            <w:pPr>
                              <w:pStyle w:val="28"/>
                              <w:rPr>
                                <w:rFonts w:ascii="幼圆" w:eastAsia="幼圆"/>
                                <w:b/>
                                <w:sz w:val="21"/>
                                <w:szCs w:val="21"/>
                              </w:rPr>
                            </w:pPr>
                            <w:r>
                              <w:rPr>
                                <w:rFonts w:cs="Arial"/>
                                <w:b/>
                              </w:rPr>
                              <w:t>Shanghai Baitong Project Management Consulting Co., Ltd.</w:t>
                            </w:r>
                          </w:p>
                        </w:txbxContent>
                      </wps:txbx>
                      <wps:bodyPr rot="0" vert="horz" wrap="square" lIns="91440" tIns="118800" rIns="91440" bIns="45720" anchor="t" anchorCtr="0" upright="1">
                        <a:noAutofit/>
                      </wps:bodyPr>
                    </wps:wsp>
                  </wpg:wgp>
                </a:graphicData>
              </a:graphic>
            </wp:anchor>
          </w:drawing>
        </mc:Choice>
        <mc:Fallback>
          <w:pict>
            <v:group id="Group 13" o:spid="_x0000_s1026" o:spt="203" style="position:absolute;left:0pt;margin-left:-5.65pt;margin-top:0.6pt;height:42pt;width:312.4pt;z-index:251660288;mso-width-relative:page;mso-height-relative:page;" coordsize="6637,820" o:gfxdata="UEsDBAoAAAAAAIdO4kAAAAAAAAAAAAAAAAAEAAAAZHJzL1BLAwQUAAAACACHTuJABw/nxNcAAAAI&#10;AQAADwAAAGRycy9kb3ducmV2LnhtbE2PQUvDQBCF74L/YRnBW7vZhJQSsylS1FMRbAXxNs1Ok9Ds&#10;bMhuk/bfu570OHyP974pN1fbi4lG3znWoJYJCOLamY4bDZ+H18UahA/IBnvHpOFGHjbV/V2JhXEz&#10;f9C0D42IJewL1NCGMBRS+roli37pBuLITm60GOI5NtKMOMdy28s0SVbSYsdxocWBti3V5/3Fanib&#10;cX7O1Mu0O5+2t+9D/v61U6T144NKnkAEuoa/MPzqR3WootPRXdh40WtYKJXFaAQpiMhXKstBHDWs&#10;8xRkVcr/D1Q/UEsDBBQAAAAIAIdO4kCe3ndUbgMAAN8HAAAOAAAAZHJzL2Uyb0RvYy54bWydVV1u&#10;2zAMfh+wOwh+T20nzp/RtGjTHxTotmDtDqDI8g9mS5qkxOmGPQ87w+6y2wy7xkjZTtqkwIo+xCEl&#10;kSI/fqSOTzdVSdZcm0KKmRceBR7hgsmkENnM+3R/1Zt4xFgqElpKwWfeAzfe6cnbN8e1inlf5rJM&#10;uCbgRJi4VjMvt1bFvm9YzitqjqTiAjZTqStqQdWZn2hag/eq9PtBMPJrqROlJePGwOpFs+mdOP9p&#10;ypn9kKaGW1LOPIjNuq923yV+/ZNjGmeaqrxgbRj0FVFUtBBw6dbVBbWUrHRx4KoqmJZGpvaIycqX&#10;aVow7nKAbMJgL5trLVfK5ZLFdaa2MAG0ezi92i17v15oUiRQO48IWkGJ3K0kHCA2tcpiOHKt1Z1a&#10;6HYhazRMd5PqCv8hEbJxqD5sUeUbSxgsDqajcTQB8BnsDQeDKGhhZznU5sCM5Zet4Wg0GDdWk74z&#10;8bsLfYxrG4YqWAy/Fh6QDuD5P43Ayq40B7DRm1gvCrbQjbKDaNBBBLt4moSRRxJuGBDqz6/ff3/+&#10;6CNo6AGNGhcUY7uV7LMhQs5zKjJ+ZhQQs4G8W9Ja1jmnicFlcOI/9eLUJ2Ety0JdFWWJ8KPcpg+h&#10;7HHjmeQb3l1Itqq4sE0jaV5SC11s8kIZj+iYV0sOvNA3SeioDfW8NRavw8o6cn/rT86CYNo/782H&#10;wbwXBePL3tk0GvfGweU4CqJJOA/n39E6jOKV4QADLS9U0XVaGB1E+yyT255vesT1GllT19GIlAuo&#10;+3chwhJCgrEazT4C2HAOZKu5ZTmKKSDXrsPh7YaDeYcs1sAA8dHiJVSf9oEQSPNROHRF3Jkpbew1&#10;lxVBAVCFmByqdA0RN1l0R/A2IbG2HQ+aGFxwEBK2JUxL05UctJfBiLPyuTlzl1OF1Ee3O7YPO7bf&#10;Y73P5YY0SbWncCAQu4F1ZKyDV+3R/IDTj0yb2zAxsqzfyQQGD11Z6RztQT2NIJTDuTIcTfvPjwdo&#10;uVeiTeNSPIW/WYGBY1omoGQ3yw3UBsWlTB4gBy2hqDDj4CkEIZf6q0dqeFZmnvmyojBYSHkjoEzT&#10;MIrwHXJKGE4mMAyJfry1dEo0HMPMI1Qw8DXzbCfOLWiwsVK6yHK4qoFeyDMALy0ck3ZhQVOgAlRx&#10;kntFXKO0Lx4+U491d2r3Lp/8A1BLAwQKAAAAAACHTuJAAAAAAAAAAAAAAAAACgAAAGRycy9tZWRp&#10;YS9QSwMEFAAAAAgAh07iQNDbwn3+CwAAugwAABUAAABkcnMvbWVkaWEvaW1hZ2UxLmpwZWedlXk0&#10;1O8ex79jrEOWLI1SYwsRE0aSZX4qiULJkpmQrRojfvYljIiRJZGlRpEsk9Ake6YsTQbRYl8ik8gS&#10;zdhpZr5X995z7zn3/P64936e8/7r8znv5/M6z/N8HnAInADELU9anAQgEAjweXsB4ChwHBDk5xfg&#10;5xMUEBAQEhKEiUjtEBEWFpHdKSkmtXc3Yt/e3XJy8spaqvKKB5Xk5NT0Dxw8pI1CoRCqBsZHdIy0&#10;dFE6v00gQkJCIsIi8B074DoKcgo6/3OAzYCEIHAJiIdCFAEeCQhUAgLSAAQAQPi2u/3d8D8DwgPl&#10;5eMXEBSCCW8X1IgDPBAolIcXysfHy7tdHbWdB3gl+HYqaJvyS55zE1D0l9K5kV4gqHSsskXa9hNT&#10;Wdc9IFYIJrMLLrt7v4qq2gF1lN5h/SMGR4+fMDtpfsrC8rydvYPjBSeMh6fX5StXcd6BQcEhoWHh&#10;EXE34xOIibeSMu5mZmXn3LtPelxYVFxCflL69EVVdU1tXX3Dy9Y3tLdt9PaOzp7evv6BwaHhEcbX&#10;yW9T099nZudYS8srq2vrG5tbv7kgAPQfWP8i+w8uiW0uHl5eKK/Aby4IT+i2oBK8fAra/DtNzwm4&#10;+Usq6twQlDqWXlDZIqSka8uUdg/4BJNRRjH2s36j/Z3svwOL/b/I/gX2b64RQAQK2T48qASABta3&#10;1B7HwDxTJE7vi/HsnSshq2aVOKOLzhAskzKm4nI87RxRGYv6Nn0KfRXsGX2fsbppuEFZTXeYwTK5&#10;K38sB31PumfQhJ9axmA4YKtxt0pK7TNl2tUeJ81rw34b/5U6WVJ5LsSgKDvk9B8VmBZWUC7KuelL&#10;uvkqN6sjLUdLpnDp8saFZcfYZTMEf0YT/lY9WsljnjSvkfNJ8se40qs6ECg5RZBHt71MenPA+oi9&#10;wBrWNVCP3jgY4GxLiDlnJj0r52YmdRbyV7r4PQkEwjn5fiBgrDq7RcDMpPE0dHtujiv2uHHn/TiE&#10;rf6W+yDQWL/u7xqZ3h/X8yLqLiHATXaJ6i8PAnl3QMCUK93jqBv6i7J7qG59ks69qVFSHPOpPw3X&#10;1NaljTVdT+Kc3W5hRq7gL7YHrPnCiWzkB6hvS8MrORD4UOZI3pc1gebnIjawb02E83459djOTfkV&#10;JZ7yCjY8VgCdcpu7Ch1mG36NUnobcbYPdb2mvm7sOdM+i+guJt9/AASiJvHBC1IGHLGNwbwwh/F3&#10;jC9vCeJXQ4oHLRsqby/BQ2XUW2JGhLaRX669DdLfHd+/VqbZ/bg9w/JwfFo2fVP66/TQy6AG+dXI&#10;jmE/r8BPzYzvJjif8v4tb1/8ugR2fiu4xT+RyzWQvwICFJt6VurLB9jRDtXGvYVbg/rBJc4jB22d&#10;C9K6fUQe5Lc9YZ+pzWnh8uc6vKj/EvKCDteKeSLyZxjlaKpPaw0mr1VdH9e40vOOYE13tgyzDGIs&#10;uOo9y3pFeEY2Q6Ygc00unn20zgsCmPJxtX5sUWfTCekQunVNDmMFc7c5YdH5oHVP6Lj7WPpsdyAI&#10;QPfWIIkli5zULhDwyZS9vDkKIGWNy0q9hlNWH16PcOVC0gaY/hu4aFemlcLX1AuEd8HotW5vmguy&#10;TzxNW4GwIYQYaLCJD0n++kF6427brpgOQSoeD7/HTnwULNxrGCLCwXH1ql2FI+2Y70v36K9drtCu&#10;bqw5eAb7XurweAy7mcX5ElGc7TFZ7i/GAoHY021uLivW06Nthyp5pocnVz0N473RiaiVXi1Khps6&#10;9tjyUeSX1lhryJbjjbBJ2kgdkaviPTBwA3uy8vCSDWC6dLL1EG1f4f4mXZey0rAQtaDwYI3rxaR2&#10;7P3cgNU0XxtrqkNSeB5iMukJtdqzfuIpW7Nl80dQtDRLj5xMNb5W4WSGcljOhlUB8Gvu5CPKwdL0&#10;MPqkyn1Gt1P1Na3WKLz9+RpG3RE7v8UMiPIvwPt28rOOKxNE4hvt5tpeM+SQ14i9RIeBsaG2kUN+&#10;K1pgZCPwTewSwyMXQ/XY/3lTtNOCobuVb4tvEr5dnEj1KMqenXmP2fDODI54Nu/h0Wyi1Ud1dgsN&#10;LA2LjpJlZCqaa/u0az9I7awZPJek8fz77/cvvkK5Fy3HduqNlJiYT1XBn27w/dYYnjVppvbo6e0f&#10;otGYLX1bKulQ7QD+9eK5pS35RfoI1W8iJ87IgLKhOL1s/2nBT8tkTNnd4rw/TFoQUVreUHiuE7YV&#10;DAJxn187ShV1RO8eQSDC8p1YUd9SnrtpKiSH6YgfotWR/bq2HIs2LgsOnuvrOl2LuqMoZnqXK/0G&#10;R9Kk3DA5ctytiJxePI8JbMTGWhbduttGGAMBemooV3xP+bMSY897IIDkvgrvP7TCSH78uGbQ5aUG&#10;sms+3qkz/vQrFNsZBI6h4WT26Ql/tg4IHOdKd0QGEXQZRhTO7AS6IiRP02pE22+xk7yZNn8R0ea4&#10;bCKiEdHhx56b+VW/VUZ1BwGUldWfz6NyXdOHZr8sWVagf8CatlTqCbFVek0tuZuZjMLsKfpEzKA/&#10;mdChXg0Cz9VBYIb0NVqo2Tda1GWUMp6Nz0QkQVzut11lQ+M9Nlx548rrzhuw10DAsoK1Ee6yswe5&#10;i+P1ukJye0zENG3AKpkwf+QbtQKumtZ0KrGg3Y9DKouMNAlNqLYyDs+Yd7hlF8EuRz95JGJRfYFt&#10;wSLTI048cv9pZmdLiF9rteOKQNgagc2kPhKlRdO6Z15x3bK6ofIh9skQ0ZcwoSzW3OciB+cUUW3R&#10;c7KIpdiqn3S2oqsE1a0YkfGOhjkx+Fx0PKBtishNQWcBAY4R8WM5zQiBZMNb8tnO9m0b70X1T3P1&#10;FnYXpzNfNc4N5PBpTo5Ot008b5EPmdMhwFjGmPGTnNxI3XD49OD5UNWPuzIJRo49pODPmNs5+OtC&#10;O/bSDqgjzjZLsOdzJW6SXd5jLHwG5r9zlLztv9uYVY0FXUYkGNmEUlznxC/iyvDS9akF9y+Pq+5o&#10;NE4QbG7/XhHUP4kQJXHX26KPnvL9rHe75IwgXSMhw/ndiqFZxELq17GWRpyF1ELG4bnUWTPZbrSX&#10;Y3RaoWvh4mu8VVJ68sWVtYVRrsBlzOMkjSIaZcfzW0V3Jtq/H/zSHsUXhmz5kPhahkmOu9K7+tDm&#10;x6DVdeUCo/uIKfVHck/ThwY/nvB0JCFixnmV8yu3r9TE+Z4UO/s7o36BD3upFtcmPyQvzR89G9qz&#10;YqVu73Qf9jOk/b2YkuFtXc7IKhJmXnU8ZfsHGG66SLBMM2W6xDEqVJx1LSqx18ObBh7SqMS+ym8D&#10;3RXlDg7zvDAHvRld0nSWrNEZ75Vz+OkRjsTTJ1m7bMpwnPZulo7fx2fGtfnsMEdSpFMUCPCa19CO&#10;LwW6NAbjpacaWw6p6MMviWog7JnRqRUzqiea6sJ9hIlLtBSy/LcAUe9oCrriV3CdZtOerAWPVcKV&#10;gXU2LCKUnVFm84uHwr317PzatmUGDgT8ekBgP8Ui+UwN8ZSVppLiJ3kZhj6ifpev7mCxHfNnQjUF&#10;hssfHjFuqKsZ9xxyzp8+0vFu53XYD4MP+5m3G68w331FJkYiK7pqSV4/tgd/Zf3dm3saJYckbuTb&#10;kb/gZUBA8rXO1ZCjZ2InzT9aNJIY5u2LgkYRKTehLIo5ixiDEpMzheFlFr2IHDtmbYfUvkJjemUp&#10;VXWiQrIlRAxXiIXTiEEv2keL7qx1rK3M/iGnSiR8mzKyB4FL7SCQifqZhjlBYVy3ER9m12HsaLpi&#10;m1PyQ2+WRzckXeKvMaJUemnr0YoJQ89KQ8WTcNQ2hcxrzaMPxF4ahpS9zMvFleNyjgavHMNi73UF&#10;FCj7nh9M74kxKmt22Zv2llDVhUHdPNBgQfMhxNO6Ogn8PFUmu9iWdcz+ojxRVgrZprH3wVuRqrQc&#10;v3X4Gt3jY0q0yZuCq0cJCSuJQa+0JHc8MEw6ebFWx8Iow8YWr0EDATGq7qSAk16qntdD/v6H8KKY&#10;CN+95pXdwJ+u/L6XXrPItD1lOIcLKk1OSumixw+EJyoxKRdIn+lHGhIjm936CLtBIHHhwuudzH1x&#10;E/k1IOB+/KCr9+j0ZkbO+8+TFBsqvqQ0Uyq70LpVg/+sufynP+BwKXtBcPh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Fhgsxu0AAAAIgEAABkA&#10;AABkcnMvX3JlbHMvZTJvRG9jLnhtbC5yZWxzhY/LCsIwEEX3gv8QZm/TuhCRpm5EcCv1A4Zkmkab&#10;B0kU+/cG3CgILude7jlMu3/aiT0oJuOdgKaqgZGTXhmnBVz642oLLGV0CifvSMBMCfbdctGeacJc&#10;Rmk0IbFCcUnAmHPYcZ7kSBZT5QO50gw+WszljJoHlDfUxNd1veHxkwHdF5OdlIB4Ug2wfg7F/J/t&#10;h8FIOnh5t+TyDwU3trgLEKOmLMCSMvgOm+oaSAPvWv71WfcCUEsDBBQAAAAIAIdO4kBCcOIqBgEA&#10;ABUCAAATAAAAW0NvbnRlbnRfVHlwZXNdLnhtbJWRwU7DMAyG70i8Q5QratPtgBBqu8M6joDQeIAo&#10;cdtA40RxKNvbk3abBNNA4pjY3+/PSbna2YGNEMg4rPgiLzgDVE4b7Cr+un3I7jijKFHLwSFUfA/E&#10;V/X1VbndeyCWaKSK9zH6eyFI9WAl5c4DpkrrgpUxHUMnvFTvsgOxLIpboRxGwJjFKYPXZQOt/Bgi&#10;2+zS9cHkzUPH2frQOM2quLFTwFwQF5kAA50x0vvBKBnTdmJEfWaWHa3yRM491BtPN0mdX54wVX5K&#10;fR9w5J7ScwajgT3LEB+lTepCBxLafWKAMf87ZLK0lLm2NQryJlCTsBcYT1a/pcPSNU79N3wzU6ds&#10;MX9q/QVQSwECFAAUAAAACACHTuJAQnDiKgYBAAAVAgAAEwAAAAAAAAABACAAAABKEwAAW0NvbnRl&#10;bnRfVHlwZXNdLnhtbFBLAQIUAAoAAAAAAIdO4kAAAAAAAAAAAAAAAAAGAAAAAAAAAAAAEAAAABkR&#10;AABfcmVscy9QSwECFAAUAAAACACHTuJAihRmPNEAAACUAQAACwAAAAAAAAABACAAAAA9EQAAX3Jl&#10;bHMvLnJlbHNQSwECFAAKAAAAAACHTuJAAAAAAAAAAAAAAAAABAAAAAAAAAAAABAAAAAAAAAAZHJz&#10;L1BLAQIUAAoAAAAAAIdO4kAAAAAAAAAAAAAAAAAKAAAAAAAAAAAAEAAAADcSAABkcnMvX3JlbHMv&#10;UEsBAhQAFAAAAAgAh07iQFhgsxu0AAAAIgEAABkAAAAAAAAAAQAgAAAAXxIAAGRycy9fcmVscy9l&#10;Mm9Eb2MueG1sLnJlbHNQSwECFAAUAAAACACHTuJABw/nxNcAAAAIAQAADwAAAAAAAAABACAAAAAi&#10;AAAAZHJzL2Rvd25yZXYueG1sUEsBAhQAFAAAAAgAh07iQJ7ed1RuAwAA3wcAAA4AAAAAAAAAAQAg&#10;AAAAJgEAAGRycy9lMm9Eb2MueG1sUEsBAhQACgAAAAAAh07iQAAAAAAAAAAAAAAAAAoAAAAAAAAA&#10;AAAQAAAAwAQAAGRycy9tZWRpYS9QSwECFAAUAAAACACHTuJA0NvCff4LAAC6DAAAFQAAAAAAAAAB&#10;ACAAAADoBAAAZHJzL21lZGlhL2ltYWdlMS5qcGVnUEsFBgAAAAAKAAoAUwIAAIEUAAAAAA==&#10;">
              <o:lock v:ext="edit" aspectratio="f"/>
              <v:shape id="Picture 14" o:spid="_x0000_s1026" o:spt="75" alt="图片2" type="#_x0000_t75" style="position:absolute;left:0;top:0;height:615;width:924;" filled="f" o:preferrelative="t" stroked="f" coordsize="21600,21600" o:gfxdata="UEsDBAoAAAAAAIdO4kAAAAAAAAAAAAAAAAAEAAAAZHJzL1BLAwQUAAAACACHTuJAJ25UA7wAAADa&#10;AAAADwAAAGRycy9kb3ducmV2LnhtbEWPQYvCMBSE78L+h/AWvNm0K7pajR4WFhRRqHpYb4/m2ZZt&#10;XkoTtf57Iwgeh5n5hpkvO1OLK7WusqwgiWIQxLnVFRcKjoffwQSE88gaa8uk4E4OlouP3hxTbW+c&#10;0XXvCxEg7FJUUHrfpFK6vCSDLrINcfDOtjXog2wLqVu8Bbip5Vccj6XBisNCiQ39lJT/7y9Gwfow&#10;aU7bbCeTrNvg3/S4Gentt1L9zySegfDU+Xf41V5pBUN4Xgk3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uVAO8AAAA&#10;2gAAAA8AAAAAAAAAAQAgAAAAIgAAAGRycy9kb3ducmV2LnhtbFBLAQIUABQAAAAIAIdO4kAzLwWe&#10;OwAAADkAAAAQAAAAAAAAAAEAIAAAAAsBAABkcnMvc2hhcGV4bWwueG1sUEsFBgAAAAAGAAYAWwEA&#10;ALUDAAAAAA==&#10;">
                <v:fill on="f" focussize="0,0"/>
                <v:stroke on="f"/>
                <v:imagedata r:id="rId1" o:title=""/>
                <o:lock v:ext="edit" aspectratio="t"/>
              </v:shape>
              <v:shape id="Text Box 15" o:spid="_x0000_s1026" o:spt="202" type="#_x0000_t202" style="position:absolute;left:945;top:0;height:820;width:5692;" filled="f" stroked="f" coordsize="21600,21600" o:gfxdata="UEsDBAoAAAAAAIdO4kAAAAAAAAAAAAAAAAAEAAAAZHJzL1BLAwQUAAAACACHTuJAyJSBrb4AAADa&#10;AAAADwAAAGRycy9kb3ducmV2LnhtbEWPQWvCQBSE70L/w/IKXqTuRrQtaVYphYKCB0086O2RfU1C&#10;s29DdhvNv3cLhR6HmfmGyTY324qBet841pDMFQji0pmGKw2n4vPpFYQPyAZbx6RhJA+b9cMkw9S4&#10;Kx9pyEMlIoR9ihrqELpUSl/WZNHPXUccvS/XWwxR9pU0PV4j3LZyodSztNhwXKixo4+ayu/8x2pY&#10;Hn2ejAe/Hd8LNXMvl93+dO60nj4m6g1EoFv4D/+1t0bDCn6vxBsg1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JSBrb4A&#10;AADaAAAADwAAAAAAAAABACAAAAAiAAAAZHJzL2Rvd25yZXYueG1sUEsBAhQAFAAAAAgAh07iQDMv&#10;BZ47AAAAOQAAABAAAAAAAAAAAQAgAAAADQEAAGRycy9zaGFwZXhtbC54bWxQSwUGAAAAAAYABgBb&#10;AQAAtwMAAAAA&#10;">
                <v:fill on="f" focussize="0,0"/>
                <v:stroke on="f"/>
                <v:imagedata o:title=""/>
                <o:lock v:ext="edit" aspectratio="f"/>
                <v:textbox inset="2.54mm,3.3mm,2.54mm,1.27mm">
                  <w:txbxContent>
                    <w:p>
                      <w:pPr>
                        <w:pStyle w:val="28"/>
                        <w:rPr>
                          <w:rFonts w:eastAsia="幼圆"/>
                          <w:b/>
                        </w:rPr>
                      </w:pPr>
                      <w:r>
                        <w:rPr>
                          <w:rFonts w:hint="eastAsia" w:eastAsia="幼圆"/>
                          <w:b/>
                        </w:rPr>
                        <w:t>上 海 百 通 项 目 管 理 咨 询 有 限 公 司</w:t>
                      </w:r>
                    </w:p>
                    <w:p>
                      <w:pPr>
                        <w:pStyle w:val="28"/>
                        <w:rPr>
                          <w:rFonts w:ascii="幼圆" w:eastAsia="幼圆"/>
                          <w:b/>
                          <w:sz w:val="21"/>
                          <w:szCs w:val="21"/>
                        </w:rPr>
                      </w:pPr>
                      <w:r>
                        <w:rPr>
                          <w:rFonts w:cs="Arial"/>
                          <w:b/>
                        </w:rPr>
                        <w:t>Shanghai Baitong Project Management Consulting Co., Ltd.</w:t>
                      </w:r>
                    </w:p>
                  </w:txbxContent>
                </v:textbox>
              </v:shape>
            </v:group>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9212700"/>
    </w:sdtPr>
    <w:sdtContent>
      <w:p>
        <w:pPr>
          <w:pStyle w:val="28"/>
          <w:jc w:val="right"/>
        </w:pPr>
        <w:r>
          <w:fldChar w:fldCharType="begin"/>
        </w:r>
        <w:r>
          <w:instrText xml:space="preserve">PAGE   \* MERGEFORMAT</w:instrText>
        </w:r>
        <w:r>
          <w:fldChar w:fldCharType="separate"/>
        </w:r>
        <w:r>
          <w:rPr>
            <w:lang w:val="zh-CN"/>
          </w:rPr>
          <w:t>91</w:t>
        </w:r>
        <w:r>
          <w:fldChar w:fldCharType="end"/>
        </w:r>
      </w:p>
    </w:sdtContent>
  </w:sdt>
  <w:p>
    <w:r>
      <w:drawing>
        <wp:inline distT="0" distB="0" distL="0" distR="0">
          <wp:extent cx="5375275" cy="502285"/>
          <wp:effectExtent l="0" t="0" r="0" b="0"/>
          <wp:docPr id="10" name="图片 10" descr="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375275" cy="502789"/>
                  </a:xfrm>
                  <a:prstGeom prst="rect">
                    <a:avLst/>
                  </a:prstGeom>
                  <a:noFill/>
                  <a:ln>
                    <a:noFill/>
                  </a:ln>
                </pic:spPr>
              </pic:pic>
            </a:graphicData>
          </a:graphic>
        </wp:inline>
      </w:drawing>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8476729"/>
    </w:sdtPr>
    <w:sdtContent>
      <w:p>
        <w:pPr>
          <w:pStyle w:val="28"/>
          <w:jc w:val="right"/>
        </w:pPr>
        <w:r>
          <w:fldChar w:fldCharType="begin"/>
        </w:r>
        <w:r>
          <w:instrText xml:space="preserve">PAGE   \* MERGEFORMAT</w:instrText>
        </w:r>
        <w:r>
          <w:fldChar w:fldCharType="separate"/>
        </w:r>
        <w:r>
          <w:rPr>
            <w:lang w:val="zh-CN"/>
          </w:rPr>
          <w:t>117</w:t>
        </w:r>
        <w:r>
          <w:fldChar w:fldCharType="end"/>
        </w:r>
      </w:p>
    </w:sdtContent>
  </w:sdt>
  <w:p>
    <w:r>
      <w:drawing>
        <wp:inline distT="0" distB="0" distL="0" distR="0">
          <wp:extent cx="5375275" cy="502285"/>
          <wp:effectExtent l="0" t="0" r="0" b="0"/>
          <wp:docPr id="11" name="图片 11" descr="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375275" cy="502789"/>
                  </a:xfrm>
                  <a:prstGeom prst="rect">
                    <a:avLst/>
                  </a:prstGeom>
                  <a:noFill/>
                  <a:ln>
                    <a:noFill/>
                  </a:ln>
                </pic:spPr>
              </pic:pic>
            </a:graphicData>
          </a:graphic>
        </wp:inline>
      </w:drawing>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5"/>
      </w:rPr>
    </w:pPr>
    <w:r>
      <w:fldChar w:fldCharType="begin"/>
    </w:r>
    <w:r>
      <w:rPr>
        <w:rStyle w:val="45"/>
      </w:rPr>
      <w:instrText xml:space="preserve">PAGE  </w:instrText>
    </w:r>
    <w:r>
      <w:fldChar w:fldCharType="end"/>
    </w:r>
  </w:p>
  <w:p>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right"/>
    </w:pPr>
  </w:p>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 PAGE   \* MERGEFORMAT </w:instrText>
    </w:r>
    <w:r>
      <w:fldChar w:fldCharType="separate"/>
    </w:r>
    <w:r>
      <w:rPr>
        <w:lang w:val="zh-CN"/>
      </w:rPr>
      <w:t>1</w:t>
    </w:r>
    <w:r>
      <w:fldChar w:fldCharType="end"/>
    </w:r>
  </w:p>
  <w:p>
    <w:r>
      <w:drawing>
        <wp:inline distT="0" distB="0" distL="0" distR="0">
          <wp:extent cx="6181725" cy="571500"/>
          <wp:effectExtent l="0" t="0" r="0" b="0"/>
          <wp:docPr id="8" name="图片 8" descr="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181725" cy="571500"/>
                  </a:xfrm>
                  <a:prstGeom prst="rect">
                    <a:avLst/>
                  </a:prstGeom>
                  <a:noFill/>
                  <a:ln>
                    <a:noFill/>
                  </a:ln>
                </pic:spPr>
              </pic:pic>
            </a:graphicData>
          </a:graphic>
        </wp:inline>
      </w:drawing>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separate"/>
    </w:r>
    <w:r>
      <w:t>1</w:t>
    </w:r>
    <w:r>
      <w:fldChar w:fldCharType="end"/>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47305"/>
    </w:sdtPr>
    <w:sdtContent>
      <w:p>
        <w:pPr>
          <w:pStyle w:val="28"/>
          <w:jc w:val="right"/>
        </w:pPr>
        <w:r>
          <w:fldChar w:fldCharType="begin"/>
        </w:r>
        <w:r>
          <w:instrText xml:space="preserve">PAGE   \* MERGEFORMAT</w:instrText>
        </w:r>
        <w:r>
          <w:fldChar w:fldCharType="separate"/>
        </w:r>
        <w:r>
          <w:rPr>
            <w:lang w:val="zh-CN"/>
          </w:rPr>
          <w:t>9</w:t>
        </w:r>
        <w:r>
          <w:fldChar w:fldCharType="end"/>
        </w:r>
      </w:p>
    </w:sdtContent>
  </w:sdt>
  <w:p>
    <w:pPr>
      <w:pStyle w:val="28"/>
      <w:ind w:right="360"/>
    </w:pPr>
    <w:r>
      <w:drawing>
        <wp:inline distT="0" distB="0" distL="0" distR="0">
          <wp:extent cx="5400040" cy="504825"/>
          <wp:effectExtent l="0" t="0" r="0" b="0"/>
          <wp:docPr id="12" name="图片 12" descr="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400040" cy="505106"/>
                  </a:xfrm>
                  <a:prstGeom prst="rect">
                    <a:avLst/>
                  </a:prstGeom>
                  <a:noFill/>
                  <a:ln>
                    <a:noFill/>
                  </a:ln>
                </pic:spPr>
              </pic:pic>
            </a:graphicData>
          </a:graphic>
        </wp:inline>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5"/>
      </w:rPr>
    </w:pPr>
    <w:r>
      <w:rPr>
        <w:rStyle w:val="45"/>
      </w:rPr>
      <w:fldChar w:fldCharType="begin"/>
    </w:r>
    <w:r>
      <w:rPr>
        <w:rStyle w:val="45"/>
      </w:rPr>
      <w:instrText xml:space="preserve">PAGE  </w:instrText>
    </w:r>
    <w:r>
      <w:rPr>
        <w:rStyle w:val="45"/>
      </w:rPr>
      <w:fldChar w:fldCharType="end"/>
    </w:r>
  </w:p>
  <w:p>
    <w:pPr>
      <w:pStyle w:val="2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7608125"/>
    </w:sdtPr>
    <w:sdtContent>
      <w:p>
        <w:pPr>
          <w:pStyle w:val="28"/>
          <w:jc w:val="right"/>
        </w:pPr>
        <w:r>
          <w:fldChar w:fldCharType="begin"/>
        </w:r>
        <w:r>
          <w:instrText xml:space="preserve">PAGE   \* MERGEFORMAT</w:instrText>
        </w:r>
        <w:r>
          <w:fldChar w:fldCharType="separate"/>
        </w:r>
        <w:r>
          <w:rPr>
            <w:lang w:val="zh-CN"/>
          </w:rPr>
          <w:t>104</w:t>
        </w:r>
        <w:r>
          <w:fldChar w:fldCharType="end"/>
        </w:r>
      </w:p>
    </w:sdtContent>
  </w:sdt>
  <w:p>
    <w:pPr>
      <w:pStyle w:val="28"/>
      <w:jc w:val="center"/>
    </w:pPr>
    <w:r>
      <w:drawing>
        <wp:inline distT="0" distB="0" distL="0" distR="0">
          <wp:extent cx="5600700" cy="523875"/>
          <wp:effectExtent l="0" t="0" r="0" b="0"/>
          <wp:docPr id="13" name="图片 13" descr="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600700" cy="523875"/>
                  </a:xfrm>
                  <a:prstGeom prst="rect">
                    <a:avLst/>
                  </a:prstGeom>
                  <a:noFill/>
                  <a:ln>
                    <a:noFill/>
                  </a:ln>
                </pic:spPr>
              </pic:pic>
            </a:graphicData>
          </a:graphic>
        </wp:inline>
      </w:drawing>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8250896"/>
    </w:sdtPr>
    <w:sdtContent>
      <w:p>
        <w:pPr>
          <w:pStyle w:val="28"/>
          <w:jc w:val="right"/>
        </w:pPr>
        <w:r>
          <w:fldChar w:fldCharType="begin"/>
        </w:r>
        <w:r>
          <w:instrText xml:space="preserve">PAGE   \* MERGEFORMAT</w:instrText>
        </w:r>
        <w:r>
          <w:fldChar w:fldCharType="separate"/>
        </w:r>
        <w:r>
          <w:rPr>
            <w:lang w:val="zh-CN"/>
          </w:rPr>
          <w:t>104</w:t>
        </w:r>
        <w:r>
          <w:fldChar w:fldCharType="end"/>
        </w:r>
      </w:p>
    </w:sdtContent>
  </w:sdt>
  <w:p>
    <w:pPr>
      <w:pStyle w:val="28"/>
      <w:jc w:val="center"/>
    </w:pPr>
    <w:r>
      <w:drawing>
        <wp:inline distT="0" distB="0" distL="0" distR="0">
          <wp:extent cx="5343525" cy="523875"/>
          <wp:effectExtent l="0" t="0" r="0" b="0"/>
          <wp:docPr id="9" name="图片 9" descr="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343525" cy="523875"/>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pPr>
    <w:r>
      <w:rPr>
        <w:rFonts w:hint="eastAsia"/>
      </w:rPr>
      <w:t xml:space="preserve">                                    上海市养志康复医院（上海市阳光康复中心）门诊、康复治疗场地调整装修招标文件</w:t>
    </w:r>
  </w:p>
  <w:p>
    <w:pPr>
      <w:pStyle w:val="29"/>
      <w:pBdr>
        <w:bottom w:val="none" w:color="auto" w:sz="0" w:space="0"/>
      </w:pBdr>
      <w:rPr>
        <w:rFonts w:ascii="仿宋" w:hAnsi="仿宋" w:eastAsia="仿宋" w:cs="仿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pPr>
    <w:r>
      <w:rPr>
        <w:rFonts w:hint="eastAsia"/>
      </w:rPr>
      <w:t xml:space="preserve"> </w:t>
    </w:r>
    <w:r>
      <w:rPr>
        <w:rFonts w:hint="eastAsia"/>
        <w:highlight w:val="none"/>
      </w:rPr>
      <w:t>上海市养志康复医院（上海市阳光康复中心）门诊、康复治疗场地调整装修</w:t>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jc w:val="right"/>
    </w:pPr>
    <w:r>
      <w:rPr>
        <w:rFonts w:hint="eastAsia"/>
        <w:highlight w:val="none"/>
      </w:rPr>
      <w:t>上海市养志康复医院（上海市阳光康复中心）门诊、康复治疗场地调整装修</w:t>
    </w:r>
    <w:r>
      <w:rPr>
        <w:rFonts w:hint="eastAsia"/>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pPr>
    <w:r>
      <w:rPr>
        <w:rFonts w:hint="eastAsia"/>
        <w:highlight w:val="none"/>
      </w:rPr>
      <w:t>上海市养志康复医院（上海市阳光康复中心）门诊、康复治疗场地调整装修</w:t>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pPr>
    <w:r>
      <w:rPr>
        <w:rFonts w:hint="eastAsia"/>
        <w:highlight w:val="none"/>
      </w:rPr>
      <w:t>上海市养志康复医院（上海市阳光康复中心）门诊、康复治疗场地调整装修</w:t>
    </w:r>
    <w:r>
      <w:rPr>
        <w:rFonts w:hint="eastAsia"/>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pPr>
    <w:r>
      <w:rPr>
        <w:rFonts w:hint="eastAsia"/>
        <w:highlight w:val="none"/>
      </w:rPr>
      <w:t>上海市养志康复医院（上海市阳光康复中心）门诊、康复治疗场地调整装修</w:t>
    </w:r>
    <w:r>
      <w:rPr>
        <w:rFonts w:hint="eastAsia"/>
      </w:rPr>
      <w:t>招标文件</w:t>
    </w:r>
  </w:p>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43733"/>
    <w:multiLevelType w:val="multilevel"/>
    <w:tmpl w:val="2AE43733"/>
    <w:lvl w:ilvl="0" w:tentative="0">
      <w:start w:val="1"/>
      <w:numFmt w:val="decimal"/>
      <w:lvlText w:val="%1."/>
      <w:lvlJc w:val="left"/>
      <w:pPr>
        <w:tabs>
          <w:tab w:val="left" w:pos="1134"/>
        </w:tabs>
        <w:ind w:left="1134" w:hanging="1134"/>
      </w:pPr>
      <w:rPr>
        <w:rFonts w:hint="eastAsia" w:ascii="宋体" w:eastAsia="宋体"/>
        <w:b/>
        <w:i w:val="0"/>
        <w:sz w:val="21"/>
      </w:rPr>
    </w:lvl>
    <w:lvl w:ilvl="1" w:tentative="0">
      <w:start w:val="1"/>
      <w:numFmt w:val="decimal"/>
      <w:pStyle w:val="77"/>
      <w:lvlText w:val="%1.%2"/>
      <w:lvlJc w:val="left"/>
      <w:pPr>
        <w:tabs>
          <w:tab w:val="left" w:pos="1134"/>
        </w:tabs>
        <w:ind w:left="1134" w:hanging="1134"/>
      </w:pPr>
      <w:rPr>
        <w:rFonts w:hint="eastAsia" w:ascii="宋体" w:eastAsia="宋体"/>
        <w:b w:val="0"/>
        <w:i w:val="0"/>
        <w:sz w:val="21"/>
      </w:rPr>
    </w:lvl>
    <w:lvl w:ilvl="2" w:tentative="0">
      <w:start w:val="1"/>
      <w:numFmt w:val="decimal"/>
      <w:lvlText w:val="%1.%2.%3"/>
      <w:lvlJc w:val="left"/>
      <w:pPr>
        <w:tabs>
          <w:tab w:val="left" w:pos="1134"/>
        </w:tabs>
        <w:ind w:left="1134" w:hanging="1134"/>
      </w:pPr>
      <w:rPr>
        <w:rFonts w:hint="eastAsia" w:ascii="宋体" w:eastAsia="宋体"/>
        <w:sz w:val="21"/>
      </w:rPr>
    </w:lvl>
    <w:lvl w:ilvl="3" w:tentative="0">
      <w:start w:val="1"/>
      <w:numFmt w:val="decimal"/>
      <w:lvlText w:val="%1.%2.%3.%4"/>
      <w:lvlJc w:val="left"/>
      <w:pPr>
        <w:tabs>
          <w:tab w:val="left" w:pos="1080"/>
        </w:tabs>
        <w:ind w:left="660" w:hanging="660"/>
      </w:pPr>
      <w:rPr>
        <w:rFonts w:hint="eastAsia"/>
      </w:rPr>
    </w:lvl>
    <w:lvl w:ilvl="4" w:tentative="0">
      <w:start w:val="1"/>
      <w:numFmt w:val="decimal"/>
      <w:lvlText w:val="%1.%2.%3.%4.%5"/>
      <w:lvlJc w:val="left"/>
      <w:pPr>
        <w:tabs>
          <w:tab w:val="left" w:pos="660"/>
        </w:tabs>
        <w:ind w:left="660" w:hanging="660"/>
      </w:pPr>
      <w:rPr>
        <w:rFonts w:hint="eastAsia"/>
      </w:rPr>
    </w:lvl>
    <w:lvl w:ilvl="5" w:tentative="0">
      <w:start w:val="1"/>
      <w:numFmt w:val="decimal"/>
      <w:lvlText w:val="%1.%2.%3.%4.%5.%6"/>
      <w:lvlJc w:val="left"/>
      <w:pPr>
        <w:tabs>
          <w:tab w:val="left" w:pos="1440"/>
        </w:tabs>
        <w:ind w:left="660" w:hanging="660"/>
      </w:pPr>
      <w:rPr>
        <w:rFonts w:hint="eastAsia"/>
      </w:rPr>
    </w:lvl>
    <w:lvl w:ilvl="6" w:tentative="0">
      <w:start w:val="1"/>
      <w:numFmt w:val="decimal"/>
      <w:lvlText w:val="%1.%2.%3.%4.%5.%6.%7"/>
      <w:lvlJc w:val="left"/>
      <w:pPr>
        <w:tabs>
          <w:tab w:val="left" w:pos="660"/>
        </w:tabs>
        <w:ind w:left="660" w:hanging="660"/>
      </w:pPr>
      <w:rPr>
        <w:rFonts w:hint="eastAsia"/>
      </w:rPr>
    </w:lvl>
    <w:lvl w:ilvl="7" w:tentative="0">
      <w:start w:val="1"/>
      <w:numFmt w:val="decimal"/>
      <w:lvlText w:val="%1.%2.%3.%4.%5.%6.%7.%8"/>
      <w:lvlJc w:val="left"/>
      <w:pPr>
        <w:tabs>
          <w:tab w:val="left" w:pos="660"/>
        </w:tabs>
        <w:ind w:left="660" w:hanging="660"/>
      </w:pPr>
      <w:rPr>
        <w:rFonts w:hint="eastAsia"/>
      </w:rPr>
    </w:lvl>
    <w:lvl w:ilvl="8" w:tentative="0">
      <w:start w:val="1"/>
      <w:numFmt w:val="decimal"/>
      <w:lvlText w:val="%1.%2.%3.%4.%5.%6.%7.%8.%9"/>
      <w:lvlJc w:val="left"/>
      <w:pPr>
        <w:tabs>
          <w:tab w:val="left" w:pos="660"/>
        </w:tabs>
        <w:ind w:left="660" w:hanging="660"/>
      </w:pPr>
      <w:rPr>
        <w:rFonts w:hint="eastAsia"/>
      </w:rPr>
    </w:lvl>
  </w:abstractNum>
  <w:abstractNum w:abstractNumId="1">
    <w:nsid w:val="3542686B"/>
    <w:multiLevelType w:val="multilevel"/>
    <w:tmpl w:val="3542686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3F221C4"/>
    <w:multiLevelType w:val="multilevel"/>
    <w:tmpl w:val="53F221C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6536FE8"/>
    <w:multiLevelType w:val="multilevel"/>
    <w:tmpl w:val="56536FE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9021C6"/>
    <w:multiLevelType w:val="multilevel"/>
    <w:tmpl w:val="709021C6"/>
    <w:lvl w:ilvl="0" w:tentative="0">
      <w:start w:val="1"/>
      <w:numFmt w:val="japaneseCounting"/>
      <w:lvlText w:val="%1、"/>
      <w:lvlJc w:val="left"/>
      <w:pPr>
        <w:ind w:left="440" w:hanging="440"/>
      </w:pPr>
      <w:rPr>
        <w:rFonts w:hint="default" w:ascii="宋体" w:hAnsi="宋体" w:cs="Times New Roman"/>
        <w:b/>
        <w:sz w:val="21"/>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A03"/>
    <w:rsid w:val="00000667"/>
    <w:rsid w:val="00000883"/>
    <w:rsid w:val="00000C19"/>
    <w:rsid w:val="00000F27"/>
    <w:rsid w:val="00001019"/>
    <w:rsid w:val="00001363"/>
    <w:rsid w:val="0000147B"/>
    <w:rsid w:val="0000185B"/>
    <w:rsid w:val="00001D44"/>
    <w:rsid w:val="0000281A"/>
    <w:rsid w:val="0000289D"/>
    <w:rsid w:val="000029D5"/>
    <w:rsid w:val="00002B98"/>
    <w:rsid w:val="00003251"/>
    <w:rsid w:val="000035FC"/>
    <w:rsid w:val="00003C9F"/>
    <w:rsid w:val="00004214"/>
    <w:rsid w:val="0000452B"/>
    <w:rsid w:val="000045DA"/>
    <w:rsid w:val="0000494C"/>
    <w:rsid w:val="00004968"/>
    <w:rsid w:val="00004A19"/>
    <w:rsid w:val="00004E79"/>
    <w:rsid w:val="00004FEA"/>
    <w:rsid w:val="000055A1"/>
    <w:rsid w:val="000056E0"/>
    <w:rsid w:val="00005AF9"/>
    <w:rsid w:val="00006441"/>
    <w:rsid w:val="00006777"/>
    <w:rsid w:val="0000682E"/>
    <w:rsid w:val="00006ED4"/>
    <w:rsid w:val="000070BA"/>
    <w:rsid w:val="000070C4"/>
    <w:rsid w:val="0000711F"/>
    <w:rsid w:val="0000722D"/>
    <w:rsid w:val="00010136"/>
    <w:rsid w:val="00010777"/>
    <w:rsid w:val="00010A6B"/>
    <w:rsid w:val="00011322"/>
    <w:rsid w:val="0001218D"/>
    <w:rsid w:val="00012231"/>
    <w:rsid w:val="00012250"/>
    <w:rsid w:val="0001280F"/>
    <w:rsid w:val="00013584"/>
    <w:rsid w:val="00013FD7"/>
    <w:rsid w:val="0001458E"/>
    <w:rsid w:val="000145F5"/>
    <w:rsid w:val="00014D4F"/>
    <w:rsid w:val="000152BB"/>
    <w:rsid w:val="00015877"/>
    <w:rsid w:val="0001589C"/>
    <w:rsid w:val="000159FB"/>
    <w:rsid w:val="0001620E"/>
    <w:rsid w:val="000172B1"/>
    <w:rsid w:val="00017BAD"/>
    <w:rsid w:val="0002097E"/>
    <w:rsid w:val="00020A37"/>
    <w:rsid w:val="00020AF3"/>
    <w:rsid w:val="000213E8"/>
    <w:rsid w:val="00021724"/>
    <w:rsid w:val="00021AE9"/>
    <w:rsid w:val="00021F2B"/>
    <w:rsid w:val="00022451"/>
    <w:rsid w:val="00023174"/>
    <w:rsid w:val="000231BA"/>
    <w:rsid w:val="000231BE"/>
    <w:rsid w:val="00023AFF"/>
    <w:rsid w:val="00023F86"/>
    <w:rsid w:val="00024273"/>
    <w:rsid w:val="00024624"/>
    <w:rsid w:val="0002483A"/>
    <w:rsid w:val="00025078"/>
    <w:rsid w:val="000252B8"/>
    <w:rsid w:val="0002548E"/>
    <w:rsid w:val="000267B5"/>
    <w:rsid w:val="00026CFC"/>
    <w:rsid w:val="000271F1"/>
    <w:rsid w:val="000300E8"/>
    <w:rsid w:val="000302F8"/>
    <w:rsid w:val="00030388"/>
    <w:rsid w:val="000310CE"/>
    <w:rsid w:val="00031778"/>
    <w:rsid w:val="00031B9D"/>
    <w:rsid w:val="00031CE2"/>
    <w:rsid w:val="00031EA0"/>
    <w:rsid w:val="000323EE"/>
    <w:rsid w:val="0003266C"/>
    <w:rsid w:val="00032882"/>
    <w:rsid w:val="00032A0B"/>
    <w:rsid w:val="00032B9E"/>
    <w:rsid w:val="0003356D"/>
    <w:rsid w:val="00033750"/>
    <w:rsid w:val="00034267"/>
    <w:rsid w:val="0003463B"/>
    <w:rsid w:val="00034B7B"/>
    <w:rsid w:val="00035785"/>
    <w:rsid w:val="000369E3"/>
    <w:rsid w:val="00037106"/>
    <w:rsid w:val="000376D8"/>
    <w:rsid w:val="00037B07"/>
    <w:rsid w:val="000403EE"/>
    <w:rsid w:val="0004115F"/>
    <w:rsid w:val="00041242"/>
    <w:rsid w:val="00041439"/>
    <w:rsid w:val="000415D1"/>
    <w:rsid w:val="00041778"/>
    <w:rsid w:val="000417C2"/>
    <w:rsid w:val="000417DD"/>
    <w:rsid w:val="00041B68"/>
    <w:rsid w:val="00041C0B"/>
    <w:rsid w:val="00041E1D"/>
    <w:rsid w:val="00042587"/>
    <w:rsid w:val="0004276F"/>
    <w:rsid w:val="00042A63"/>
    <w:rsid w:val="00042D68"/>
    <w:rsid w:val="00042DEB"/>
    <w:rsid w:val="00042E24"/>
    <w:rsid w:val="00042F0B"/>
    <w:rsid w:val="0004316E"/>
    <w:rsid w:val="00043B0F"/>
    <w:rsid w:val="00043DF6"/>
    <w:rsid w:val="00043EE8"/>
    <w:rsid w:val="00044409"/>
    <w:rsid w:val="0004449E"/>
    <w:rsid w:val="000445AA"/>
    <w:rsid w:val="000448D6"/>
    <w:rsid w:val="00044D62"/>
    <w:rsid w:val="000467CE"/>
    <w:rsid w:val="00046947"/>
    <w:rsid w:val="0005059F"/>
    <w:rsid w:val="000509F2"/>
    <w:rsid w:val="00050A6A"/>
    <w:rsid w:val="00050C2B"/>
    <w:rsid w:val="00050D87"/>
    <w:rsid w:val="00051529"/>
    <w:rsid w:val="00051552"/>
    <w:rsid w:val="000517C0"/>
    <w:rsid w:val="0005194B"/>
    <w:rsid w:val="00051CE8"/>
    <w:rsid w:val="000525AB"/>
    <w:rsid w:val="000527C8"/>
    <w:rsid w:val="0005313B"/>
    <w:rsid w:val="00053E61"/>
    <w:rsid w:val="00054685"/>
    <w:rsid w:val="00054D36"/>
    <w:rsid w:val="0005503B"/>
    <w:rsid w:val="00055138"/>
    <w:rsid w:val="0005586F"/>
    <w:rsid w:val="00055B84"/>
    <w:rsid w:val="00056067"/>
    <w:rsid w:val="00056473"/>
    <w:rsid w:val="000565DC"/>
    <w:rsid w:val="00056945"/>
    <w:rsid w:val="00056AC9"/>
    <w:rsid w:val="0005701F"/>
    <w:rsid w:val="000573CB"/>
    <w:rsid w:val="00060316"/>
    <w:rsid w:val="00060767"/>
    <w:rsid w:val="00060B42"/>
    <w:rsid w:val="00060FF8"/>
    <w:rsid w:val="000610A6"/>
    <w:rsid w:val="00061370"/>
    <w:rsid w:val="00061398"/>
    <w:rsid w:val="00061F24"/>
    <w:rsid w:val="00062BD1"/>
    <w:rsid w:val="00062FF0"/>
    <w:rsid w:val="00064275"/>
    <w:rsid w:val="0006454D"/>
    <w:rsid w:val="000656C6"/>
    <w:rsid w:val="00065CF3"/>
    <w:rsid w:val="000665A5"/>
    <w:rsid w:val="00066766"/>
    <w:rsid w:val="00066D44"/>
    <w:rsid w:val="000670B6"/>
    <w:rsid w:val="000674F4"/>
    <w:rsid w:val="000709B4"/>
    <w:rsid w:val="000709CC"/>
    <w:rsid w:val="00070A21"/>
    <w:rsid w:val="00071B91"/>
    <w:rsid w:val="00071F5B"/>
    <w:rsid w:val="00071FD6"/>
    <w:rsid w:val="00072601"/>
    <w:rsid w:val="00073353"/>
    <w:rsid w:val="00073521"/>
    <w:rsid w:val="000737CD"/>
    <w:rsid w:val="00073900"/>
    <w:rsid w:val="00074112"/>
    <w:rsid w:val="00074471"/>
    <w:rsid w:val="00074A02"/>
    <w:rsid w:val="00074A4D"/>
    <w:rsid w:val="00074A64"/>
    <w:rsid w:val="00074CC1"/>
    <w:rsid w:val="000754AC"/>
    <w:rsid w:val="00075C56"/>
    <w:rsid w:val="00075D3A"/>
    <w:rsid w:val="00076250"/>
    <w:rsid w:val="00076349"/>
    <w:rsid w:val="000763FC"/>
    <w:rsid w:val="000768DA"/>
    <w:rsid w:val="00076EEB"/>
    <w:rsid w:val="00077938"/>
    <w:rsid w:val="00077C78"/>
    <w:rsid w:val="00077E13"/>
    <w:rsid w:val="00077ED4"/>
    <w:rsid w:val="00077FAF"/>
    <w:rsid w:val="00080085"/>
    <w:rsid w:val="000802B5"/>
    <w:rsid w:val="000804B4"/>
    <w:rsid w:val="00080679"/>
    <w:rsid w:val="000807A2"/>
    <w:rsid w:val="00080BD7"/>
    <w:rsid w:val="00080E12"/>
    <w:rsid w:val="00080EA4"/>
    <w:rsid w:val="000810CD"/>
    <w:rsid w:val="00081693"/>
    <w:rsid w:val="00081984"/>
    <w:rsid w:val="00081A40"/>
    <w:rsid w:val="000827F8"/>
    <w:rsid w:val="00082C29"/>
    <w:rsid w:val="00083201"/>
    <w:rsid w:val="000833DC"/>
    <w:rsid w:val="00083E3D"/>
    <w:rsid w:val="000841CE"/>
    <w:rsid w:val="000844EF"/>
    <w:rsid w:val="000849C4"/>
    <w:rsid w:val="00084F59"/>
    <w:rsid w:val="000855F7"/>
    <w:rsid w:val="00085CA2"/>
    <w:rsid w:val="00085F91"/>
    <w:rsid w:val="000863DE"/>
    <w:rsid w:val="0008659D"/>
    <w:rsid w:val="00086B21"/>
    <w:rsid w:val="00087723"/>
    <w:rsid w:val="0008774C"/>
    <w:rsid w:val="00087990"/>
    <w:rsid w:val="00087F28"/>
    <w:rsid w:val="0009078F"/>
    <w:rsid w:val="000909DC"/>
    <w:rsid w:val="00090E3C"/>
    <w:rsid w:val="00090EF2"/>
    <w:rsid w:val="000916ED"/>
    <w:rsid w:val="00091A4B"/>
    <w:rsid w:val="00092306"/>
    <w:rsid w:val="0009341B"/>
    <w:rsid w:val="000939DA"/>
    <w:rsid w:val="00093DC2"/>
    <w:rsid w:val="000943A6"/>
    <w:rsid w:val="00094569"/>
    <w:rsid w:val="0009483A"/>
    <w:rsid w:val="00094AC3"/>
    <w:rsid w:val="00094B0B"/>
    <w:rsid w:val="00094C1A"/>
    <w:rsid w:val="00094D1C"/>
    <w:rsid w:val="00094E0B"/>
    <w:rsid w:val="00095142"/>
    <w:rsid w:val="00095FD6"/>
    <w:rsid w:val="0009649F"/>
    <w:rsid w:val="00096671"/>
    <w:rsid w:val="000966B0"/>
    <w:rsid w:val="00096986"/>
    <w:rsid w:val="00097133"/>
    <w:rsid w:val="00097734"/>
    <w:rsid w:val="00097BA4"/>
    <w:rsid w:val="00097CA6"/>
    <w:rsid w:val="00097CFF"/>
    <w:rsid w:val="00097D8C"/>
    <w:rsid w:val="00097E69"/>
    <w:rsid w:val="00097EE5"/>
    <w:rsid w:val="000A057D"/>
    <w:rsid w:val="000A0E33"/>
    <w:rsid w:val="000A158D"/>
    <w:rsid w:val="000A1683"/>
    <w:rsid w:val="000A1714"/>
    <w:rsid w:val="000A182A"/>
    <w:rsid w:val="000A2597"/>
    <w:rsid w:val="000A276F"/>
    <w:rsid w:val="000A34B4"/>
    <w:rsid w:val="000A44C1"/>
    <w:rsid w:val="000A51D2"/>
    <w:rsid w:val="000A5AF4"/>
    <w:rsid w:val="000A5EEC"/>
    <w:rsid w:val="000A614A"/>
    <w:rsid w:val="000A624E"/>
    <w:rsid w:val="000A62FE"/>
    <w:rsid w:val="000A6329"/>
    <w:rsid w:val="000A6343"/>
    <w:rsid w:val="000A65FA"/>
    <w:rsid w:val="000A6E7A"/>
    <w:rsid w:val="000A7662"/>
    <w:rsid w:val="000A7D27"/>
    <w:rsid w:val="000A7F6A"/>
    <w:rsid w:val="000B125A"/>
    <w:rsid w:val="000B13AF"/>
    <w:rsid w:val="000B1401"/>
    <w:rsid w:val="000B2EB5"/>
    <w:rsid w:val="000B3A5C"/>
    <w:rsid w:val="000B3AEC"/>
    <w:rsid w:val="000B3C93"/>
    <w:rsid w:val="000B3F41"/>
    <w:rsid w:val="000B42B0"/>
    <w:rsid w:val="000B438D"/>
    <w:rsid w:val="000B4BD5"/>
    <w:rsid w:val="000B4BE9"/>
    <w:rsid w:val="000B4EA9"/>
    <w:rsid w:val="000B5161"/>
    <w:rsid w:val="000B528D"/>
    <w:rsid w:val="000B53E8"/>
    <w:rsid w:val="000B5E65"/>
    <w:rsid w:val="000B5F03"/>
    <w:rsid w:val="000B5F92"/>
    <w:rsid w:val="000B6185"/>
    <w:rsid w:val="000B6504"/>
    <w:rsid w:val="000B7553"/>
    <w:rsid w:val="000B76DA"/>
    <w:rsid w:val="000B7854"/>
    <w:rsid w:val="000C16C8"/>
    <w:rsid w:val="000C1784"/>
    <w:rsid w:val="000C2050"/>
    <w:rsid w:val="000C2A8E"/>
    <w:rsid w:val="000C2BE1"/>
    <w:rsid w:val="000C2C56"/>
    <w:rsid w:val="000C2F95"/>
    <w:rsid w:val="000C3095"/>
    <w:rsid w:val="000C34DC"/>
    <w:rsid w:val="000C388C"/>
    <w:rsid w:val="000C39C0"/>
    <w:rsid w:val="000C4D2B"/>
    <w:rsid w:val="000C4E2D"/>
    <w:rsid w:val="000C4F6E"/>
    <w:rsid w:val="000C4F8B"/>
    <w:rsid w:val="000C5CE6"/>
    <w:rsid w:val="000C66AF"/>
    <w:rsid w:val="000C6796"/>
    <w:rsid w:val="000C747A"/>
    <w:rsid w:val="000C77D0"/>
    <w:rsid w:val="000C7EAE"/>
    <w:rsid w:val="000D084F"/>
    <w:rsid w:val="000D1118"/>
    <w:rsid w:val="000D182F"/>
    <w:rsid w:val="000D1B76"/>
    <w:rsid w:val="000D1F29"/>
    <w:rsid w:val="000D200F"/>
    <w:rsid w:val="000D27E0"/>
    <w:rsid w:val="000D29C6"/>
    <w:rsid w:val="000D2A5F"/>
    <w:rsid w:val="000D2BF0"/>
    <w:rsid w:val="000D48D5"/>
    <w:rsid w:val="000D5323"/>
    <w:rsid w:val="000D5490"/>
    <w:rsid w:val="000D5A2A"/>
    <w:rsid w:val="000D6AC2"/>
    <w:rsid w:val="000D6FB5"/>
    <w:rsid w:val="000D70D7"/>
    <w:rsid w:val="000D7401"/>
    <w:rsid w:val="000D7598"/>
    <w:rsid w:val="000E0E92"/>
    <w:rsid w:val="000E1064"/>
    <w:rsid w:val="000E1BCF"/>
    <w:rsid w:val="000E1CE2"/>
    <w:rsid w:val="000E1D0C"/>
    <w:rsid w:val="000E2357"/>
    <w:rsid w:val="000E2AAE"/>
    <w:rsid w:val="000E2DFC"/>
    <w:rsid w:val="000E3271"/>
    <w:rsid w:val="000E32A2"/>
    <w:rsid w:val="000E32F5"/>
    <w:rsid w:val="000E3B8C"/>
    <w:rsid w:val="000E3D9A"/>
    <w:rsid w:val="000E40BE"/>
    <w:rsid w:val="000E40F1"/>
    <w:rsid w:val="000E40F3"/>
    <w:rsid w:val="000E48AE"/>
    <w:rsid w:val="000E4C22"/>
    <w:rsid w:val="000E4ECA"/>
    <w:rsid w:val="000E53C2"/>
    <w:rsid w:val="000E6133"/>
    <w:rsid w:val="000E615F"/>
    <w:rsid w:val="000E652A"/>
    <w:rsid w:val="000E6CA8"/>
    <w:rsid w:val="000E6CEC"/>
    <w:rsid w:val="000E6E24"/>
    <w:rsid w:val="000E6F1B"/>
    <w:rsid w:val="000E7BBB"/>
    <w:rsid w:val="000E7D69"/>
    <w:rsid w:val="000E7E19"/>
    <w:rsid w:val="000F1135"/>
    <w:rsid w:val="000F1144"/>
    <w:rsid w:val="000F1B37"/>
    <w:rsid w:val="000F1E42"/>
    <w:rsid w:val="000F20F7"/>
    <w:rsid w:val="000F2614"/>
    <w:rsid w:val="000F2C9B"/>
    <w:rsid w:val="000F2CDB"/>
    <w:rsid w:val="000F2DF7"/>
    <w:rsid w:val="000F3781"/>
    <w:rsid w:val="000F3956"/>
    <w:rsid w:val="000F39E5"/>
    <w:rsid w:val="000F3A46"/>
    <w:rsid w:val="000F4EC5"/>
    <w:rsid w:val="000F5684"/>
    <w:rsid w:val="000F5F9C"/>
    <w:rsid w:val="000F60E2"/>
    <w:rsid w:val="000F6858"/>
    <w:rsid w:val="000F7436"/>
    <w:rsid w:val="001003B6"/>
    <w:rsid w:val="00100BF7"/>
    <w:rsid w:val="00100FBA"/>
    <w:rsid w:val="001010C2"/>
    <w:rsid w:val="001016EB"/>
    <w:rsid w:val="00101767"/>
    <w:rsid w:val="00101C07"/>
    <w:rsid w:val="001025D0"/>
    <w:rsid w:val="0010284F"/>
    <w:rsid w:val="00102A03"/>
    <w:rsid w:val="00102B29"/>
    <w:rsid w:val="00102DDE"/>
    <w:rsid w:val="001030C0"/>
    <w:rsid w:val="00103CFA"/>
    <w:rsid w:val="00104502"/>
    <w:rsid w:val="00104822"/>
    <w:rsid w:val="00104BA5"/>
    <w:rsid w:val="00104EB2"/>
    <w:rsid w:val="00105CA7"/>
    <w:rsid w:val="001067BB"/>
    <w:rsid w:val="001067F3"/>
    <w:rsid w:val="001068D4"/>
    <w:rsid w:val="0010697D"/>
    <w:rsid w:val="0010770C"/>
    <w:rsid w:val="00107E79"/>
    <w:rsid w:val="00110318"/>
    <w:rsid w:val="0011060D"/>
    <w:rsid w:val="00110983"/>
    <w:rsid w:val="00111A46"/>
    <w:rsid w:val="00111C81"/>
    <w:rsid w:val="00111D58"/>
    <w:rsid w:val="00112120"/>
    <w:rsid w:val="0011233C"/>
    <w:rsid w:val="00112ADD"/>
    <w:rsid w:val="0011327E"/>
    <w:rsid w:val="001133C5"/>
    <w:rsid w:val="001135DF"/>
    <w:rsid w:val="0011360B"/>
    <w:rsid w:val="001136B8"/>
    <w:rsid w:val="00113BD3"/>
    <w:rsid w:val="00113C94"/>
    <w:rsid w:val="00114114"/>
    <w:rsid w:val="00114181"/>
    <w:rsid w:val="00114332"/>
    <w:rsid w:val="001144B4"/>
    <w:rsid w:val="00114915"/>
    <w:rsid w:val="00114A28"/>
    <w:rsid w:val="00114A69"/>
    <w:rsid w:val="00114C52"/>
    <w:rsid w:val="00114F98"/>
    <w:rsid w:val="00115911"/>
    <w:rsid w:val="00115A1A"/>
    <w:rsid w:val="00116949"/>
    <w:rsid w:val="00116B08"/>
    <w:rsid w:val="00117383"/>
    <w:rsid w:val="00117D77"/>
    <w:rsid w:val="00117D7F"/>
    <w:rsid w:val="0012045C"/>
    <w:rsid w:val="00120AAE"/>
    <w:rsid w:val="00120D0B"/>
    <w:rsid w:val="00120F42"/>
    <w:rsid w:val="00121853"/>
    <w:rsid w:val="00121874"/>
    <w:rsid w:val="0012190E"/>
    <w:rsid w:val="00121E27"/>
    <w:rsid w:val="0012225F"/>
    <w:rsid w:val="0012270F"/>
    <w:rsid w:val="00122ECE"/>
    <w:rsid w:val="001230BB"/>
    <w:rsid w:val="00123430"/>
    <w:rsid w:val="0012407C"/>
    <w:rsid w:val="001240F4"/>
    <w:rsid w:val="00124314"/>
    <w:rsid w:val="001245A9"/>
    <w:rsid w:val="001246FF"/>
    <w:rsid w:val="00124755"/>
    <w:rsid w:val="00124CD7"/>
    <w:rsid w:val="00125320"/>
    <w:rsid w:val="0012564A"/>
    <w:rsid w:val="00125807"/>
    <w:rsid w:val="00125853"/>
    <w:rsid w:val="001265F4"/>
    <w:rsid w:val="00126949"/>
    <w:rsid w:val="00126DB7"/>
    <w:rsid w:val="001271BD"/>
    <w:rsid w:val="00127648"/>
    <w:rsid w:val="00127AE0"/>
    <w:rsid w:val="00130104"/>
    <w:rsid w:val="00130384"/>
    <w:rsid w:val="00130773"/>
    <w:rsid w:val="001307B6"/>
    <w:rsid w:val="001307DF"/>
    <w:rsid w:val="00130AB5"/>
    <w:rsid w:val="001310E2"/>
    <w:rsid w:val="001319BF"/>
    <w:rsid w:val="00131D58"/>
    <w:rsid w:val="00131F66"/>
    <w:rsid w:val="00132186"/>
    <w:rsid w:val="0013247E"/>
    <w:rsid w:val="00132919"/>
    <w:rsid w:val="001329A8"/>
    <w:rsid w:val="00132C28"/>
    <w:rsid w:val="00132EAB"/>
    <w:rsid w:val="00133EA3"/>
    <w:rsid w:val="00134AC6"/>
    <w:rsid w:val="00135860"/>
    <w:rsid w:val="00135D6C"/>
    <w:rsid w:val="00136D87"/>
    <w:rsid w:val="0013700B"/>
    <w:rsid w:val="00137916"/>
    <w:rsid w:val="00137C43"/>
    <w:rsid w:val="001401F3"/>
    <w:rsid w:val="0014055F"/>
    <w:rsid w:val="001405BE"/>
    <w:rsid w:val="00140B52"/>
    <w:rsid w:val="001417F9"/>
    <w:rsid w:val="00141AD2"/>
    <w:rsid w:val="00142437"/>
    <w:rsid w:val="001424AE"/>
    <w:rsid w:val="0014290A"/>
    <w:rsid w:val="001429C4"/>
    <w:rsid w:val="00143BA8"/>
    <w:rsid w:val="00144947"/>
    <w:rsid w:val="00144961"/>
    <w:rsid w:val="001449F3"/>
    <w:rsid w:val="00144A0B"/>
    <w:rsid w:val="001450CE"/>
    <w:rsid w:val="001452DF"/>
    <w:rsid w:val="00145482"/>
    <w:rsid w:val="00146545"/>
    <w:rsid w:val="00146B4C"/>
    <w:rsid w:val="00146E00"/>
    <w:rsid w:val="00146E13"/>
    <w:rsid w:val="00146F1F"/>
    <w:rsid w:val="0014765D"/>
    <w:rsid w:val="001478DA"/>
    <w:rsid w:val="001478DB"/>
    <w:rsid w:val="00147A45"/>
    <w:rsid w:val="0015073E"/>
    <w:rsid w:val="00150859"/>
    <w:rsid w:val="00150C69"/>
    <w:rsid w:val="0015169C"/>
    <w:rsid w:val="00151D3A"/>
    <w:rsid w:val="0015251B"/>
    <w:rsid w:val="00152C5F"/>
    <w:rsid w:val="0015329C"/>
    <w:rsid w:val="001535C4"/>
    <w:rsid w:val="00153BF0"/>
    <w:rsid w:val="00154696"/>
    <w:rsid w:val="00154A21"/>
    <w:rsid w:val="0015506B"/>
    <w:rsid w:val="001553B0"/>
    <w:rsid w:val="00155E59"/>
    <w:rsid w:val="00156321"/>
    <w:rsid w:val="001564A8"/>
    <w:rsid w:val="001567E8"/>
    <w:rsid w:val="00156B55"/>
    <w:rsid w:val="001577A2"/>
    <w:rsid w:val="00157B40"/>
    <w:rsid w:val="00160041"/>
    <w:rsid w:val="00160105"/>
    <w:rsid w:val="00160284"/>
    <w:rsid w:val="00160733"/>
    <w:rsid w:val="00160D41"/>
    <w:rsid w:val="0016139D"/>
    <w:rsid w:val="0016164F"/>
    <w:rsid w:val="001616CD"/>
    <w:rsid w:val="00161741"/>
    <w:rsid w:val="00161818"/>
    <w:rsid w:val="0016195C"/>
    <w:rsid w:val="00162548"/>
    <w:rsid w:val="00162F4B"/>
    <w:rsid w:val="00162F77"/>
    <w:rsid w:val="001632B2"/>
    <w:rsid w:val="001639D5"/>
    <w:rsid w:val="001642EC"/>
    <w:rsid w:val="001647EB"/>
    <w:rsid w:val="00164BF7"/>
    <w:rsid w:val="0016527D"/>
    <w:rsid w:val="0016545B"/>
    <w:rsid w:val="00165896"/>
    <w:rsid w:val="001658F2"/>
    <w:rsid w:val="001662E9"/>
    <w:rsid w:val="001664D2"/>
    <w:rsid w:val="00166D13"/>
    <w:rsid w:val="00166D3A"/>
    <w:rsid w:val="00167785"/>
    <w:rsid w:val="00170010"/>
    <w:rsid w:val="00170018"/>
    <w:rsid w:val="001700D0"/>
    <w:rsid w:val="0017059A"/>
    <w:rsid w:val="00170CF2"/>
    <w:rsid w:val="001711C8"/>
    <w:rsid w:val="00171307"/>
    <w:rsid w:val="00172ACC"/>
    <w:rsid w:val="00172ECD"/>
    <w:rsid w:val="00172FEC"/>
    <w:rsid w:val="0017367E"/>
    <w:rsid w:val="001736FB"/>
    <w:rsid w:val="00173C16"/>
    <w:rsid w:val="00173D0B"/>
    <w:rsid w:val="0017445A"/>
    <w:rsid w:val="0017477D"/>
    <w:rsid w:val="00174BFA"/>
    <w:rsid w:val="00174EC0"/>
    <w:rsid w:val="001750F3"/>
    <w:rsid w:val="0017559A"/>
    <w:rsid w:val="00175AAA"/>
    <w:rsid w:val="00175C6C"/>
    <w:rsid w:val="00176181"/>
    <w:rsid w:val="001767E9"/>
    <w:rsid w:val="0017764C"/>
    <w:rsid w:val="00177FF7"/>
    <w:rsid w:val="00180B6B"/>
    <w:rsid w:val="00181256"/>
    <w:rsid w:val="00181366"/>
    <w:rsid w:val="001815AE"/>
    <w:rsid w:val="0018163B"/>
    <w:rsid w:val="00182236"/>
    <w:rsid w:val="0018273E"/>
    <w:rsid w:val="001827D4"/>
    <w:rsid w:val="00182F3B"/>
    <w:rsid w:val="001830AF"/>
    <w:rsid w:val="001830CF"/>
    <w:rsid w:val="0018377B"/>
    <w:rsid w:val="00183EAF"/>
    <w:rsid w:val="0018414C"/>
    <w:rsid w:val="0018476F"/>
    <w:rsid w:val="00185004"/>
    <w:rsid w:val="001857F4"/>
    <w:rsid w:val="0018584A"/>
    <w:rsid w:val="00185983"/>
    <w:rsid w:val="00185D31"/>
    <w:rsid w:val="00185F9E"/>
    <w:rsid w:val="00186911"/>
    <w:rsid w:val="00187470"/>
    <w:rsid w:val="00187587"/>
    <w:rsid w:val="00187D23"/>
    <w:rsid w:val="0019059A"/>
    <w:rsid w:val="001906A1"/>
    <w:rsid w:val="00190751"/>
    <w:rsid w:val="00190959"/>
    <w:rsid w:val="00190F66"/>
    <w:rsid w:val="00191382"/>
    <w:rsid w:val="00191A67"/>
    <w:rsid w:val="00191E94"/>
    <w:rsid w:val="00191EFF"/>
    <w:rsid w:val="00191F75"/>
    <w:rsid w:val="0019265C"/>
    <w:rsid w:val="00192783"/>
    <w:rsid w:val="001927B4"/>
    <w:rsid w:val="00192EA7"/>
    <w:rsid w:val="00193782"/>
    <w:rsid w:val="00193DF1"/>
    <w:rsid w:val="001941EB"/>
    <w:rsid w:val="00194262"/>
    <w:rsid w:val="0019486A"/>
    <w:rsid w:val="00194AE8"/>
    <w:rsid w:val="00195261"/>
    <w:rsid w:val="00195685"/>
    <w:rsid w:val="00195A3C"/>
    <w:rsid w:val="00196048"/>
    <w:rsid w:val="001961B9"/>
    <w:rsid w:val="0019692F"/>
    <w:rsid w:val="001969AA"/>
    <w:rsid w:val="00196EEF"/>
    <w:rsid w:val="00197385"/>
    <w:rsid w:val="001973DC"/>
    <w:rsid w:val="00197729"/>
    <w:rsid w:val="00197C24"/>
    <w:rsid w:val="00197E49"/>
    <w:rsid w:val="00197EF9"/>
    <w:rsid w:val="001A0560"/>
    <w:rsid w:val="001A06C3"/>
    <w:rsid w:val="001A0A8F"/>
    <w:rsid w:val="001A0B14"/>
    <w:rsid w:val="001A0CD7"/>
    <w:rsid w:val="001A0F42"/>
    <w:rsid w:val="001A0FCC"/>
    <w:rsid w:val="001A1270"/>
    <w:rsid w:val="001A174F"/>
    <w:rsid w:val="001A1782"/>
    <w:rsid w:val="001A18FA"/>
    <w:rsid w:val="001A1C7F"/>
    <w:rsid w:val="001A1D80"/>
    <w:rsid w:val="001A22BB"/>
    <w:rsid w:val="001A264D"/>
    <w:rsid w:val="001A27B8"/>
    <w:rsid w:val="001A2858"/>
    <w:rsid w:val="001A3000"/>
    <w:rsid w:val="001A31CD"/>
    <w:rsid w:val="001A35A8"/>
    <w:rsid w:val="001A3871"/>
    <w:rsid w:val="001A39A9"/>
    <w:rsid w:val="001A3B24"/>
    <w:rsid w:val="001A4724"/>
    <w:rsid w:val="001A5117"/>
    <w:rsid w:val="001A5126"/>
    <w:rsid w:val="001A5521"/>
    <w:rsid w:val="001A57B9"/>
    <w:rsid w:val="001A5AE4"/>
    <w:rsid w:val="001A5F6C"/>
    <w:rsid w:val="001A6070"/>
    <w:rsid w:val="001A6451"/>
    <w:rsid w:val="001A68E2"/>
    <w:rsid w:val="001A6DD8"/>
    <w:rsid w:val="001A6ED6"/>
    <w:rsid w:val="001A712E"/>
    <w:rsid w:val="001A72D1"/>
    <w:rsid w:val="001A76C3"/>
    <w:rsid w:val="001A7F1B"/>
    <w:rsid w:val="001B0C8F"/>
    <w:rsid w:val="001B1238"/>
    <w:rsid w:val="001B1974"/>
    <w:rsid w:val="001B1A80"/>
    <w:rsid w:val="001B1D9B"/>
    <w:rsid w:val="001B272C"/>
    <w:rsid w:val="001B2809"/>
    <w:rsid w:val="001B30AC"/>
    <w:rsid w:val="001B3755"/>
    <w:rsid w:val="001B3C6E"/>
    <w:rsid w:val="001B4626"/>
    <w:rsid w:val="001B4681"/>
    <w:rsid w:val="001B4B85"/>
    <w:rsid w:val="001B5236"/>
    <w:rsid w:val="001B54EE"/>
    <w:rsid w:val="001B5AFB"/>
    <w:rsid w:val="001B62A3"/>
    <w:rsid w:val="001B656D"/>
    <w:rsid w:val="001B668D"/>
    <w:rsid w:val="001B66CA"/>
    <w:rsid w:val="001B6702"/>
    <w:rsid w:val="001B6BBA"/>
    <w:rsid w:val="001B6E85"/>
    <w:rsid w:val="001B784B"/>
    <w:rsid w:val="001B7B23"/>
    <w:rsid w:val="001B7BFD"/>
    <w:rsid w:val="001B7CAE"/>
    <w:rsid w:val="001B7E49"/>
    <w:rsid w:val="001B7EA7"/>
    <w:rsid w:val="001B7F3E"/>
    <w:rsid w:val="001C0290"/>
    <w:rsid w:val="001C03DA"/>
    <w:rsid w:val="001C0B9F"/>
    <w:rsid w:val="001C0CB4"/>
    <w:rsid w:val="001C0EE1"/>
    <w:rsid w:val="001C1011"/>
    <w:rsid w:val="001C1413"/>
    <w:rsid w:val="001C2B62"/>
    <w:rsid w:val="001C2CF7"/>
    <w:rsid w:val="001C33F4"/>
    <w:rsid w:val="001C46B2"/>
    <w:rsid w:val="001C4ACE"/>
    <w:rsid w:val="001C4C2C"/>
    <w:rsid w:val="001C4F91"/>
    <w:rsid w:val="001C5281"/>
    <w:rsid w:val="001C5756"/>
    <w:rsid w:val="001C5B72"/>
    <w:rsid w:val="001C5DA0"/>
    <w:rsid w:val="001C5E7F"/>
    <w:rsid w:val="001C5FD3"/>
    <w:rsid w:val="001C60AA"/>
    <w:rsid w:val="001C7AEA"/>
    <w:rsid w:val="001C7CAB"/>
    <w:rsid w:val="001C7FC7"/>
    <w:rsid w:val="001D0253"/>
    <w:rsid w:val="001D02A3"/>
    <w:rsid w:val="001D0394"/>
    <w:rsid w:val="001D0793"/>
    <w:rsid w:val="001D0CFA"/>
    <w:rsid w:val="001D1322"/>
    <w:rsid w:val="001D1639"/>
    <w:rsid w:val="001D1838"/>
    <w:rsid w:val="001D1B76"/>
    <w:rsid w:val="001D27F0"/>
    <w:rsid w:val="001D2BD0"/>
    <w:rsid w:val="001D2D05"/>
    <w:rsid w:val="001D33F3"/>
    <w:rsid w:val="001D39B3"/>
    <w:rsid w:val="001D3F3D"/>
    <w:rsid w:val="001D4149"/>
    <w:rsid w:val="001D4476"/>
    <w:rsid w:val="001D45DF"/>
    <w:rsid w:val="001D4D01"/>
    <w:rsid w:val="001D5247"/>
    <w:rsid w:val="001D53F8"/>
    <w:rsid w:val="001D56B7"/>
    <w:rsid w:val="001D5952"/>
    <w:rsid w:val="001D5CF4"/>
    <w:rsid w:val="001D6475"/>
    <w:rsid w:val="001D6580"/>
    <w:rsid w:val="001D6A8B"/>
    <w:rsid w:val="001D6F5A"/>
    <w:rsid w:val="001D7691"/>
    <w:rsid w:val="001D77B7"/>
    <w:rsid w:val="001D7EAE"/>
    <w:rsid w:val="001E00A9"/>
    <w:rsid w:val="001E0C02"/>
    <w:rsid w:val="001E0EC7"/>
    <w:rsid w:val="001E1237"/>
    <w:rsid w:val="001E2173"/>
    <w:rsid w:val="001E3523"/>
    <w:rsid w:val="001E3DFC"/>
    <w:rsid w:val="001E4627"/>
    <w:rsid w:val="001E4976"/>
    <w:rsid w:val="001E4D01"/>
    <w:rsid w:val="001E4E2A"/>
    <w:rsid w:val="001E4E6F"/>
    <w:rsid w:val="001E579D"/>
    <w:rsid w:val="001E5855"/>
    <w:rsid w:val="001E5DA8"/>
    <w:rsid w:val="001E5E24"/>
    <w:rsid w:val="001E64E3"/>
    <w:rsid w:val="001E6EFA"/>
    <w:rsid w:val="001E74CC"/>
    <w:rsid w:val="001E78A1"/>
    <w:rsid w:val="001E7AA3"/>
    <w:rsid w:val="001E7B63"/>
    <w:rsid w:val="001E7DA7"/>
    <w:rsid w:val="001E7DEF"/>
    <w:rsid w:val="001E7FFB"/>
    <w:rsid w:val="001F06D8"/>
    <w:rsid w:val="001F09B8"/>
    <w:rsid w:val="001F0D6D"/>
    <w:rsid w:val="001F0DE8"/>
    <w:rsid w:val="001F127D"/>
    <w:rsid w:val="001F12EE"/>
    <w:rsid w:val="001F1307"/>
    <w:rsid w:val="001F1A08"/>
    <w:rsid w:val="001F214D"/>
    <w:rsid w:val="001F26FB"/>
    <w:rsid w:val="001F3C65"/>
    <w:rsid w:val="001F3CA2"/>
    <w:rsid w:val="001F3CFD"/>
    <w:rsid w:val="001F3FF8"/>
    <w:rsid w:val="001F40DC"/>
    <w:rsid w:val="001F4403"/>
    <w:rsid w:val="001F4B50"/>
    <w:rsid w:val="001F4DD9"/>
    <w:rsid w:val="001F4F24"/>
    <w:rsid w:val="001F50E9"/>
    <w:rsid w:val="001F51C3"/>
    <w:rsid w:val="001F5870"/>
    <w:rsid w:val="001F5A62"/>
    <w:rsid w:val="001F5C3D"/>
    <w:rsid w:val="001F6359"/>
    <w:rsid w:val="001F6552"/>
    <w:rsid w:val="001F71A2"/>
    <w:rsid w:val="001F7D73"/>
    <w:rsid w:val="001F7E1C"/>
    <w:rsid w:val="0020006C"/>
    <w:rsid w:val="00200377"/>
    <w:rsid w:val="00200856"/>
    <w:rsid w:val="002012AD"/>
    <w:rsid w:val="002014CD"/>
    <w:rsid w:val="00201FC2"/>
    <w:rsid w:val="00202435"/>
    <w:rsid w:val="00202C0D"/>
    <w:rsid w:val="00202D70"/>
    <w:rsid w:val="00202D7B"/>
    <w:rsid w:val="00203089"/>
    <w:rsid w:val="002032DB"/>
    <w:rsid w:val="00203AB3"/>
    <w:rsid w:val="00203CD1"/>
    <w:rsid w:val="002042E1"/>
    <w:rsid w:val="00204559"/>
    <w:rsid w:val="00205102"/>
    <w:rsid w:val="0020545D"/>
    <w:rsid w:val="002054D2"/>
    <w:rsid w:val="0020551C"/>
    <w:rsid w:val="00205AFA"/>
    <w:rsid w:val="00205D15"/>
    <w:rsid w:val="00205D67"/>
    <w:rsid w:val="00205DE0"/>
    <w:rsid w:val="00205F47"/>
    <w:rsid w:val="002065F3"/>
    <w:rsid w:val="002065F4"/>
    <w:rsid w:val="002068D7"/>
    <w:rsid w:val="0020694E"/>
    <w:rsid w:val="00206FD2"/>
    <w:rsid w:val="00207830"/>
    <w:rsid w:val="002079A8"/>
    <w:rsid w:val="00210605"/>
    <w:rsid w:val="00211B63"/>
    <w:rsid w:val="00211D4C"/>
    <w:rsid w:val="00211DA5"/>
    <w:rsid w:val="00212633"/>
    <w:rsid w:val="0021279F"/>
    <w:rsid w:val="00212954"/>
    <w:rsid w:val="00212AFA"/>
    <w:rsid w:val="00213116"/>
    <w:rsid w:val="002131E7"/>
    <w:rsid w:val="0021374D"/>
    <w:rsid w:val="002139D6"/>
    <w:rsid w:val="00214277"/>
    <w:rsid w:val="002144B0"/>
    <w:rsid w:val="0021553B"/>
    <w:rsid w:val="002159B8"/>
    <w:rsid w:val="00215C51"/>
    <w:rsid w:val="00216289"/>
    <w:rsid w:val="00216E22"/>
    <w:rsid w:val="00217400"/>
    <w:rsid w:val="0021760E"/>
    <w:rsid w:val="00217DEF"/>
    <w:rsid w:val="0022020C"/>
    <w:rsid w:val="0022072A"/>
    <w:rsid w:val="00221264"/>
    <w:rsid w:val="00221379"/>
    <w:rsid w:val="002227E2"/>
    <w:rsid w:val="00222A49"/>
    <w:rsid w:val="0022399D"/>
    <w:rsid w:val="002241FD"/>
    <w:rsid w:val="0022490B"/>
    <w:rsid w:val="00225557"/>
    <w:rsid w:val="002258EB"/>
    <w:rsid w:val="002260EA"/>
    <w:rsid w:val="00226210"/>
    <w:rsid w:val="002266F2"/>
    <w:rsid w:val="00226D0A"/>
    <w:rsid w:val="00227075"/>
    <w:rsid w:val="002274E1"/>
    <w:rsid w:val="00227ECD"/>
    <w:rsid w:val="0023039D"/>
    <w:rsid w:val="002307A4"/>
    <w:rsid w:val="00230D0F"/>
    <w:rsid w:val="00231B61"/>
    <w:rsid w:val="00231F19"/>
    <w:rsid w:val="00231F35"/>
    <w:rsid w:val="00232AB7"/>
    <w:rsid w:val="00232C6F"/>
    <w:rsid w:val="0023368A"/>
    <w:rsid w:val="002347CE"/>
    <w:rsid w:val="002347E5"/>
    <w:rsid w:val="00234ACB"/>
    <w:rsid w:val="002352DF"/>
    <w:rsid w:val="00235D17"/>
    <w:rsid w:val="00235DFA"/>
    <w:rsid w:val="00236700"/>
    <w:rsid w:val="00236E3A"/>
    <w:rsid w:val="00236FD6"/>
    <w:rsid w:val="002372D9"/>
    <w:rsid w:val="002374E9"/>
    <w:rsid w:val="00237971"/>
    <w:rsid w:val="002379D3"/>
    <w:rsid w:val="00237A30"/>
    <w:rsid w:val="00240CF5"/>
    <w:rsid w:val="00240E0F"/>
    <w:rsid w:val="00241784"/>
    <w:rsid w:val="002428EA"/>
    <w:rsid w:val="00242C12"/>
    <w:rsid w:val="00242E11"/>
    <w:rsid w:val="00242EAD"/>
    <w:rsid w:val="00242F54"/>
    <w:rsid w:val="00242FAA"/>
    <w:rsid w:val="0024310E"/>
    <w:rsid w:val="0024322A"/>
    <w:rsid w:val="00243425"/>
    <w:rsid w:val="002434C5"/>
    <w:rsid w:val="00244013"/>
    <w:rsid w:val="002441AA"/>
    <w:rsid w:val="0024498B"/>
    <w:rsid w:val="002449F2"/>
    <w:rsid w:val="00244A1D"/>
    <w:rsid w:val="00245148"/>
    <w:rsid w:val="00245BFF"/>
    <w:rsid w:val="002460C2"/>
    <w:rsid w:val="002461AB"/>
    <w:rsid w:val="002461B0"/>
    <w:rsid w:val="0024690F"/>
    <w:rsid w:val="002471BB"/>
    <w:rsid w:val="0024756C"/>
    <w:rsid w:val="00247B28"/>
    <w:rsid w:val="00247E87"/>
    <w:rsid w:val="0025031B"/>
    <w:rsid w:val="00250C19"/>
    <w:rsid w:val="00250ED6"/>
    <w:rsid w:val="0025151F"/>
    <w:rsid w:val="00251A55"/>
    <w:rsid w:val="00252782"/>
    <w:rsid w:val="00252E67"/>
    <w:rsid w:val="00253199"/>
    <w:rsid w:val="00253722"/>
    <w:rsid w:val="00253C83"/>
    <w:rsid w:val="00253CA4"/>
    <w:rsid w:val="0025406E"/>
    <w:rsid w:val="002546BA"/>
    <w:rsid w:val="00254D26"/>
    <w:rsid w:val="00255351"/>
    <w:rsid w:val="002553B4"/>
    <w:rsid w:val="00255899"/>
    <w:rsid w:val="00255D6E"/>
    <w:rsid w:val="00256367"/>
    <w:rsid w:val="0025738F"/>
    <w:rsid w:val="00257A49"/>
    <w:rsid w:val="00257C77"/>
    <w:rsid w:val="00260801"/>
    <w:rsid w:val="002619DC"/>
    <w:rsid w:val="00261B5F"/>
    <w:rsid w:val="00261BDB"/>
    <w:rsid w:val="00261DA6"/>
    <w:rsid w:val="00261DD8"/>
    <w:rsid w:val="00262184"/>
    <w:rsid w:val="002622D9"/>
    <w:rsid w:val="002622DA"/>
    <w:rsid w:val="00262442"/>
    <w:rsid w:val="00262916"/>
    <w:rsid w:val="00262B87"/>
    <w:rsid w:val="002631F7"/>
    <w:rsid w:val="0026326B"/>
    <w:rsid w:val="002636D7"/>
    <w:rsid w:val="00263888"/>
    <w:rsid w:val="0026426A"/>
    <w:rsid w:val="0026457B"/>
    <w:rsid w:val="002648AD"/>
    <w:rsid w:val="00264D06"/>
    <w:rsid w:val="00264DA1"/>
    <w:rsid w:val="00265A8D"/>
    <w:rsid w:val="00265FC9"/>
    <w:rsid w:val="00266160"/>
    <w:rsid w:val="00266652"/>
    <w:rsid w:val="0026694E"/>
    <w:rsid w:val="00266B2C"/>
    <w:rsid w:val="002672D5"/>
    <w:rsid w:val="002675FE"/>
    <w:rsid w:val="00267B03"/>
    <w:rsid w:val="00267DD6"/>
    <w:rsid w:val="00270570"/>
    <w:rsid w:val="00270C74"/>
    <w:rsid w:val="00270F60"/>
    <w:rsid w:val="00271496"/>
    <w:rsid w:val="00271501"/>
    <w:rsid w:val="002716BC"/>
    <w:rsid w:val="00271C86"/>
    <w:rsid w:val="00271EC6"/>
    <w:rsid w:val="00272633"/>
    <w:rsid w:val="00272CD9"/>
    <w:rsid w:val="00272E67"/>
    <w:rsid w:val="00273025"/>
    <w:rsid w:val="0027372E"/>
    <w:rsid w:val="00273874"/>
    <w:rsid w:val="00273B2C"/>
    <w:rsid w:val="00275755"/>
    <w:rsid w:val="0027607E"/>
    <w:rsid w:val="00276D94"/>
    <w:rsid w:val="00276DF4"/>
    <w:rsid w:val="00277274"/>
    <w:rsid w:val="0027761D"/>
    <w:rsid w:val="002800B5"/>
    <w:rsid w:val="00280E6B"/>
    <w:rsid w:val="002818F9"/>
    <w:rsid w:val="0028270C"/>
    <w:rsid w:val="00282725"/>
    <w:rsid w:val="00282DAC"/>
    <w:rsid w:val="0028303B"/>
    <w:rsid w:val="0028335F"/>
    <w:rsid w:val="0028345F"/>
    <w:rsid w:val="00283D4D"/>
    <w:rsid w:val="002848F2"/>
    <w:rsid w:val="00284BC5"/>
    <w:rsid w:val="00284C13"/>
    <w:rsid w:val="002856B9"/>
    <w:rsid w:val="00285868"/>
    <w:rsid w:val="00285B3C"/>
    <w:rsid w:val="00285D10"/>
    <w:rsid w:val="00286138"/>
    <w:rsid w:val="002866B8"/>
    <w:rsid w:val="00286959"/>
    <w:rsid w:val="00286C6E"/>
    <w:rsid w:val="00286EF5"/>
    <w:rsid w:val="002870A9"/>
    <w:rsid w:val="0028752F"/>
    <w:rsid w:val="00287ADE"/>
    <w:rsid w:val="00287C31"/>
    <w:rsid w:val="002904AC"/>
    <w:rsid w:val="00290720"/>
    <w:rsid w:val="002912A4"/>
    <w:rsid w:val="002917F6"/>
    <w:rsid w:val="00291A56"/>
    <w:rsid w:val="00291EE1"/>
    <w:rsid w:val="00292346"/>
    <w:rsid w:val="00292543"/>
    <w:rsid w:val="00292A76"/>
    <w:rsid w:val="00292F94"/>
    <w:rsid w:val="0029336A"/>
    <w:rsid w:val="00293426"/>
    <w:rsid w:val="00293499"/>
    <w:rsid w:val="0029371A"/>
    <w:rsid w:val="00294265"/>
    <w:rsid w:val="0029443C"/>
    <w:rsid w:val="00294771"/>
    <w:rsid w:val="00294890"/>
    <w:rsid w:val="002963F7"/>
    <w:rsid w:val="00297097"/>
    <w:rsid w:val="002970B5"/>
    <w:rsid w:val="002971C3"/>
    <w:rsid w:val="002A0162"/>
    <w:rsid w:val="002A0268"/>
    <w:rsid w:val="002A05B6"/>
    <w:rsid w:val="002A0BDC"/>
    <w:rsid w:val="002A0CB8"/>
    <w:rsid w:val="002A10E6"/>
    <w:rsid w:val="002A1D7E"/>
    <w:rsid w:val="002A2117"/>
    <w:rsid w:val="002A2206"/>
    <w:rsid w:val="002A22FE"/>
    <w:rsid w:val="002A241A"/>
    <w:rsid w:val="002A2BF2"/>
    <w:rsid w:val="002A2D13"/>
    <w:rsid w:val="002A2E7B"/>
    <w:rsid w:val="002A3E5B"/>
    <w:rsid w:val="002A3EAD"/>
    <w:rsid w:val="002A3EC9"/>
    <w:rsid w:val="002A4243"/>
    <w:rsid w:val="002A471C"/>
    <w:rsid w:val="002A508C"/>
    <w:rsid w:val="002A58AF"/>
    <w:rsid w:val="002A5F61"/>
    <w:rsid w:val="002A6E60"/>
    <w:rsid w:val="002A718C"/>
    <w:rsid w:val="002A7927"/>
    <w:rsid w:val="002A7A6C"/>
    <w:rsid w:val="002B0B46"/>
    <w:rsid w:val="002B0E58"/>
    <w:rsid w:val="002B1542"/>
    <w:rsid w:val="002B17A2"/>
    <w:rsid w:val="002B1A81"/>
    <w:rsid w:val="002B1AF7"/>
    <w:rsid w:val="002B1BBB"/>
    <w:rsid w:val="002B1E2D"/>
    <w:rsid w:val="002B22FC"/>
    <w:rsid w:val="002B23BD"/>
    <w:rsid w:val="002B347E"/>
    <w:rsid w:val="002B4159"/>
    <w:rsid w:val="002B4291"/>
    <w:rsid w:val="002B4920"/>
    <w:rsid w:val="002B4F7B"/>
    <w:rsid w:val="002B4FB2"/>
    <w:rsid w:val="002B5A54"/>
    <w:rsid w:val="002B5D50"/>
    <w:rsid w:val="002B63DF"/>
    <w:rsid w:val="002B7A16"/>
    <w:rsid w:val="002B7E78"/>
    <w:rsid w:val="002C005D"/>
    <w:rsid w:val="002C081E"/>
    <w:rsid w:val="002C136A"/>
    <w:rsid w:val="002C148C"/>
    <w:rsid w:val="002C1935"/>
    <w:rsid w:val="002C19B5"/>
    <w:rsid w:val="002C2400"/>
    <w:rsid w:val="002C2490"/>
    <w:rsid w:val="002C2993"/>
    <w:rsid w:val="002C2AAB"/>
    <w:rsid w:val="002C2C50"/>
    <w:rsid w:val="002C2C75"/>
    <w:rsid w:val="002C4149"/>
    <w:rsid w:val="002C4222"/>
    <w:rsid w:val="002C4555"/>
    <w:rsid w:val="002C49E4"/>
    <w:rsid w:val="002C4A78"/>
    <w:rsid w:val="002C4DB7"/>
    <w:rsid w:val="002C4E12"/>
    <w:rsid w:val="002C54B4"/>
    <w:rsid w:val="002C587D"/>
    <w:rsid w:val="002C6086"/>
    <w:rsid w:val="002C6477"/>
    <w:rsid w:val="002C6491"/>
    <w:rsid w:val="002C68AA"/>
    <w:rsid w:val="002C6D00"/>
    <w:rsid w:val="002C6EA1"/>
    <w:rsid w:val="002C705B"/>
    <w:rsid w:val="002C717D"/>
    <w:rsid w:val="002C7287"/>
    <w:rsid w:val="002C7DBB"/>
    <w:rsid w:val="002D14AB"/>
    <w:rsid w:val="002D161F"/>
    <w:rsid w:val="002D180E"/>
    <w:rsid w:val="002D30B0"/>
    <w:rsid w:val="002D319D"/>
    <w:rsid w:val="002D37D7"/>
    <w:rsid w:val="002D3E89"/>
    <w:rsid w:val="002D3ECA"/>
    <w:rsid w:val="002D4824"/>
    <w:rsid w:val="002D4A7E"/>
    <w:rsid w:val="002D4CC5"/>
    <w:rsid w:val="002D5185"/>
    <w:rsid w:val="002D57A8"/>
    <w:rsid w:val="002D5C0A"/>
    <w:rsid w:val="002D698B"/>
    <w:rsid w:val="002D6BAE"/>
    <w:rsid w:val="002D6FD7"/>
    <w:rsid w:val="002D7998"/>
    <w:rsid w:val="002D7BFA"/>
    <w:rsid w:val="002D7C90"/>
    <w:rsid w:val="002D7F22"/>
    <w:rsid w:val="002E0024"/>
    <w:rsid w:val="002E04BF"/>
    <w:rsid w:val="002E07F6"/>
    <w:rsid w:val="002E0A7F"/>
    <w:rsid w:val="002E0AA2"/>
    <w:rsid w:val="002E117F"/>
    <w:rsid w:val="002E11FA"/>
    <w:rsid w:val="002E1ADE"/>
    <w:rsid w:val="002E2543"/>
    <w:rsid w:val="002E35D4"/>
    <w:rsid w:val="002E36FA"/>
    <w:rsid w:val="002E3C23"/>
    <w:rsid w:val="002E4BD1"/>
    <w:rsid w:val="002E51DC"/>
    <w:rsid w:val="002E5394"/>
    <w:rsid w:val="002E627F"/>
    <w:rsid w:val="002E746E"/>
    <w:rsid w:val="002E782D"/>
    <w:rsid w:val="002E79C2"/>
    <w:rsid w:val="002F0639"/>
    <w:rsid w:val="002F0C52"/>
    <w:rsid w:val="002F206B"/>
    <w:rsid w:val="002F2402"/>
    <w:rsid w:val="002F2853"/>
    <w:rsid w:val="002F34D5"/>
    <w:rsid w:val="002F36C5"/>
    <w:rsid w:val="002F38FD"/>
    <w:rsid w:val="002F40D5"/>
    <w:rsid w:val="002F4152"/>
    <w:rsid w:val="002F54EB"/>
    <w:rsid w:val="002F5617"/>
    <w:rsid w:val="002F5D9E"/>
    <w:rsid w:val="002F6176"/>
    <w:rsid w:val="002F6330"/>
    <w:rsid w:val="002F7655"/>
    <w:rsid w:val="002F7B82"/>
    <w:rsid w:val="002F7C59"/>
    <w:rsid w:val="002F7FB4"/>
    <w:rsid w:val="00300119"/>
    <w:rsid w:val="003003A4"/>
    <w:rsid w:val="003006FA"/>
    <w:rsid w:val="00300CF2"/>
    <w:rsid w:val="00301294"/>
    <w:rsid w:val="00301349"/>
    <w:rsid w:val="003020E8"/>
    <w:rsid w:val="003023AD"/>
    <w:rsid w:val="003025E4"/>
    <w:rsid w:val="0030273D"/>
    <w:rsid w:val="00302816"/>
    <w:rsid w:val="0030292B"/>
    <w:rsid w:val="003029C5"/>
    <w:rsid w:val="00302BB1"/>
    <w:rsid w:val="00303174"/>
    <w:rsid w:val="0030322E"/>
    <w:rsid w:val="003034FD"/>
    <w:rsid w:val="0030373C"/>
    <w:rsid w:val="00303EFA"/>
    <w:rsid w:val="0030421D"/>
    <w:rsid w:val="003042E4"/>
    <w:rsid w:val="003042F0"/>
    <w:rsid w:val="003049B7"/>
    <w:rsid w:val="00304A4A"/>
    <w:rsid w:val="003057CD"/>
    <w:rsid w:val="003067C2"/>
    <w:rsid w:val="003075D6"/>
    <w:rsid w:val="00307C64"/>
    <w:rsid w:val="00307FBA"/>
    <w:rsid w:val="003100CD"/>
    <w:rsid w:val="003104B8"/>
    <w:rsid w:val="00310623"/>
    <w:rsid w:val="00310723"/>
    <w:rsid w:val="00310C9B"/>
    <w:rsid w:val="00310E43"/>
    <w:rsid w:val="00310E75"/>
    <w:rsid w:val="00311568"/>
    <w:rsid w:val="003118AA"/>
    <w:rsid w:val="00311E84"/>
    <w:rsid w:val="00311FEB"/>
    <w:rsid w:val="00312A5F"/>
    <w:rsid w:val="00312D74"/>
    <w:rsid w:val="00313105"/>
    <w:rsid w:val="003141C5"/>
    <w:rsid w:val="00314647"/>
    <w:rsid w:val="00314D25"/>
    <w:rsid w:val="003150C7"/>
    <w:rsid w:val="00315156"/>
    <w:rsid w:val="0031540C"/>
    <w:rsid w:val="00315AB0"/>
    <w:rsid w:val="00317402"/>
    <w:rsid w:val="00317818"/>
    <w:rsid w:val="00317C71"/>
    <w:rsid w:val="00317DCE"/>
    <w:rsid w:val="00317EEC"/>
    <w:rsid w:val="00320BFE"/>
    <w:rsid w:val="00320C25"/>
    <w:rsid w:val="00320D27"/>
    <w:rsid w:val="00320DEF"/>
    <w:rsid w:val="0032105A"/>
    <w:rsid w:val="003211BA"/>
    <w:rsid w:val="00321306"/>
    <w:rsid w:val="003218EF"/>
    <w:rsid w:val="00321F8D"/>
    <w:rsid w:val="00322289"/>
    <w:rsid w:val="00322E30"/>
    <w:rsid w:val="0032477A"/>
    <w:rsid w:val="00324C1E"/>
    <w:rsid w:val="00324FAA"/>
    <w:rsid w:val="003259ED"/>
    <w:rsid w:val="00326500"/>
    <w:rsid w:val="00326986"/>
    <w:rsid w:val="00326DBF"/>
    <w:rsid w:val="003277D8"/>
    <w:rsid w:val="00330068"/>
    <w:rsid w:val="003303D3"/>
    <w:rsid w:val="00330558"/>
    <w:rsid w:val="00330A82"/>
    <w:rsid w:val="00331A12"/>
    <w:rsid w:val="00331F42"/>
    <w:rsid w:val="00331F66"/>
    <w:rsid w:val="00332501"/>
    <w:rsid w:val="00333372"/>
    <w:rsid w:val="003334F1"/>
    <w:rsid w:val="00333AFF"/>
    <w:rsid w:val="0033492D"/>
    <w:rsid w:val="00335052"/>
    <w:rsid w:val="00335977"/>
    <w:rsid w:val="00335CA3"/>
    <w:rsid w:val="00336F3F"/>
    <w:rsid w:val="00337A13"/>
    <w:rsid w:val="00337BA7"/>
    <w:rsid w:val="00340175"/>
    <w:rsid w:val="00340228"/>
    <w:rsid w:val="00340B82"/>
    <w:rsid w:val="00340D74"/>
    <w:rsid w:val="00341556"/>
    <w:rsid w:val="00341A64"/>
    <w:rsid w:val="00341C26"/>
    <w:rsid w:val="00341CB6"/>
    <w:rsid w:val="00341F2C"/>
    <w:rsid w:val="00342081"/>
    <w:rsid w:val="003424E8"/>
    <w:rsid w:val="00342CD5"/>
    <w:rsid w:val="003430AA"/>
    <w:rsid w:val="00343453"/>
    <w:rsid w:val="0034366F"/>
    <w:rsid w:val="0034386D"/>
    <w:rsid w:val="00343C84"/>
    <w:rsid w:val="0034438A"/>
    <w:rsid w:val="00344855"/>
    <w:rsid w:val="003454A0"/>
    <w:rsid w:val="003454D5"/>
    <w:rsid w:val="003455AA"/>
    <w:rsid w:val="003457AB"/>
    <w:rsid w:val="00345D8F"/>
    <w:rsid w:val="00345DB5"/>
    <w:rsid w:val="00345ED0"/>
    <w:rsid w:val="00345FDB"/>
    <w:rsid w:val="003462FF"/>
    <w:rsid w:val="003463D4"/>
    <w:rsid w:val="00346C8F"/>
    <w:rsid w:val="003473A8"/>
    <w:rsid w:val="003477AD"/>
    <w:rsid w:val="00347C8A"/>
    <w:rsid w:val="00350452"/>
    <w:rsid w:val="0035048D"/>
    <w:rsid w:val="00350CD1"/>
    <w:rsid w:val="00350D4E"/>
    <w:rsid w:val="00350E71"/>
    <w:rsid w:val="0035276A"/>
    <w:rsid w:val="00352BB6"/>
    <w:rsid w:val="00352D98"/>
    <w:rsid w:val="00352FE8"/>
    <w:rsid w:val="003536F8"/>
    <w:rsid w:val="0035385C"/>
    <w:rsid w:val="00353A78"/>
    <w:rsid w:val="00353F66"/>
    <w:rsid w:val="00354661"/>
    <w:rsid w:val="00355114"/>
    <w:rsid w:val="003551CA"/>
    <w:rsid w:val="0035547C"/>
    <w:rsid w:val="00355B53"/>
    <w:rsid w:val="0035607A"/>
    <w:rsid w:val="00356B85"/>
    <w:rsid w:val="00357640"/>
    <w:rsid w:val="003576F2"/>
    <w:rsid w:val="00357E4D"/>
    <w:rsid w:val="00357E55"/>
    <w:rsid w:val="003606B6"/>
    <w:rsid w:val="00360913"/>
    <w:rsid w:val="00361081"/>
    <w:rsid w:val="00361225"/>
    <w:rsid w:val="003613F0"/>
    <w:rsid w:val="0036185F"/>
    <w:rsid w:val="00361883"/>
    <w:rsid w:val="00361BA2"/>
    <w:rsid w:val="00361D24"/>
    <w:rsid w:val="0036220B"/>
    <w:rsid w:val="003623B8"/>
    <w:rsid w:val="0036268D"/>
    <w:rsid w:val="003631B6"/>
    <w:rsid w:val="00363A5C"/>
    <w:rsid w:val="00363B39"/>
    <w:rsid w:val="00363FD9"/>
    <w:rsid w:val="003640DE"/>
    <w:rsid w:val="00364473"/>
    <w:rsid w:val="0036464C"/>
    <w:rsid w:val="00364E8E"/>
    <w:rsid w:val="00365522"/>
    <w:rsid w:val="003655E3"/>
    <w:rsid w:val="00365BA6"/>
    <w:rsid w:val="003666BD"/>
    <w:rsid w:val="00367BF1"/>
    <w:rsid w:val="00367EF3"/>
    <w:rsid w:val="00370428"/>
    <w:rsid w:val="00371E6D"/>
    <w:rsid w:val="0037215D"/>
    <w:rsid w:val="00372E98"/>
    <w:rsid w:val="00373652"/>
    <w:rsid w:val="00373FC7"/>
    <w:rsid w:val="0037431A"/>
    <w:rsid w:val="003747D5"/>
    <w:rsid w:val="00374D88"/>
    <w:rsid w:val="003752CA"/>
    <w:rsid w:val="0037539A"/>
    <w:rsid w:val="003759C8"/>
    <w:rsid w:val="00376059"/>
    <w:rsid w:val="003762CB"/>
    <w:rsid w:val="00376761"/>
    <w:rsid w:val="0037746E"/>
    <w:rsid w:val="003776AA"/>
    <w:rsid w:val="003779F7"/>
    <w:rsid w:val="00377C6A"/>
    <w:rsid w:val="00377F1D"/>
    <w:rsid w:val="003805EF"/>
    <w:rsid w:val="00381387"/>
    <w:rsid w:val="003813B0"/>
    <w:rsid w:val="003813D6"/>
    <w:rsid w:val="00382277"/>
    <w:rsid w:val="00382293"/>
    <w:rsid w:val="0038231B"/>
    <w:rsid w:val="00382357"/>
    <w:rsid w:val="0038277B"/>
    <w:rsid w:val="00382CCF"/>
    <w:rsid w:val="00382D68"/>
    <w:rsid w:val="00383125"/>
    <w:rsid w:val="00383554"/>
    <w:rsid w:val="00383611"/>
    <w:rsid w:val="00383746"/>
    <w:rsid w:val="003838B9"/>
    <w:rsid w:val="00383AE2"/>
    <w:rsid w:val="00384803"/>
    <w:rsid w:val="00384BBC"/>
    <w:rsid w:val="00384BFC"/>
    <w:rsid w:val="00384CD9"/>
    <w:rsid w:val="00384E7E"/>
    <w:rsid w:val="00385532"/>
    <w:rsid w:val="003859A4"/>
    <w:rsid w:val="0038632D"/>
    <w:rsid w:val="00386458"/>
    <w:rsid w:val="00386551"/>
    <w:rsid w:val="0038678D"/>
    <w:rsid w:val="00386795"/>
    <w:rsid w:val="00386865"/>
    <w:rsid w:val="00386C59"/>
    <w:rsid w:val="00387EC2"/>
    <w:rsid w:val="003903BF"/>
    <w:rsid w:val="0039150F"/>
    <w:rsid w:val="00391D05"/>
    <w:rsid w:val="00391E23"/>
    <w:rsid w:val="00391F6A"/>
    <w:rsid w:val="003920DD"/>
    <w:rsid w:val="003923FD"/>
    <w:rsid w:val="003928C1"/>
    <w:rsid w:val="00392B4E"/>
    <w:rsid w:val="00393144"/>
    <w:rsid w:val="00393DBB"/>
    <w:rsid w:val="00393EE9"/>
    <w:rsid w:val="00394503"/>
    <w:rsid w:val="00394F77"/>
    <w:rsid w:val="00395121"/>
    <w:rsid w:val="00395611"/>
    <w:rsid w:val="00395EA3"/>
    <w:rsid w:val="0039619E"/>
    <w:rsid w:val="00396353"/>
    <w:rsid w:val="003963FD"/>
    <w:rsid w:val="003966C8"/>
    <w:rsid w:val="00396F19"/>
    <w:rsid w:val="00397556"/>
    <w:rsid w:val="00397783"/>
    <w:rsid w:val="003A1099"/>
    <w:rsid w:val="003A123D"/>
    <w:rsid w:val="003A12E0"/>
    <w:rsid w:val="003A2B4A"/>
    <w:rsid w:val="003A2CC0"/>
    <w:rsid w:val="003A3262"/>
    <w:rsid w:val="003A3A17"/>
    <w:rsid w:val="003A4115"/>
    <w:rsid w:val="003A4605"/>
    <w:rsid w:val="003A4F71"/>
    <w:rsid w:val="003A5430"/>
    <w:rsid w:val="003A5858"/>
    <w:rsid w:val="003A5BB8"/>
    <w:rsid w:val="003A6EF9"/>
    <w:rsid w:val="003A7121"/>
    <w:rsid w:val="003A7970"/>
    <w:rsid w:val="003A7DE2"/>
    <w:rsid w:val="003B08B1"/>
    <w:rsid w:val="003B096B"/>
    <w:rsid w:val="003B0B28"/>
    <w:rsid w:val="003B0F31"/>
    <w:rsid w:val="003B0F6E"/>
    <w:rsid w:val="003B1084"/>
    <w:rsid w:val="003B20C4"/>
    <w:rsid w:val="003B24F2"/>
    <w:rsid w:val="003B25D1"/>
    <w:rsid w:val="003B29FE"/>
    <w:rsid w:val="003B2B18"/>
    <w:rsid w:val="003B3178"/>
    <w:rsid w:val="003B3614"/>
    <w:rsid w:val="003B3723"/>
    <w:rsid w:val="003B39DB"/>
    <w:rsid w:val="003B3A86"/>
    <w:rsid w:val="003B4285"/>
    <w:rsid w:val="003B46BC"/>
    <w:rsid w:val="003B57DF"/>
    <w:rsid w:val="003B5820"/>
    <w:rsid w:val="003B6152"/>
    <w:rsid w:val="003B691C"/>
    <w:rsid w:val="003B6A79"/>
    <w:rsid w:val="003B6BC8"/>
    <w:rsid w:val="003B6C8D"/>
    <w:rsid w:val="003B718C"/>
    <w:rsid w:val="003B7498"/>
    <w:rsid w:val="003B7611"/>
    <w:rsid w:val="003C0082"/>
    <w:rsid w:val="003C029C"/>
    <w:rsid w:val="003C059C"/>
    <w:rsid w:val="003C06A9"/>
    <w:rsid w:val="003C086C"/>
    <w:rsid w:val="003C0D0D"/>
    <w:rsid w:val="003C0F58"/>
    <w:rsid w:val="003C0FED"/>
    <w:rsid w:val="003C101C"/>
    <w:rsid w:val="003C104F"/>
    <w:rsid w:val="003C10FA"/>
    <w:rsid w:val="003C1465"/>
    <w:rsid w:val="003C1844"/>
    <w:rsid w:val="003C1D91"/>
    <w:rsid w:val="003C24E0"/>
    <w:rsid w:val="003C2D2B"/>
    <w:rsid w:val="003C31FB"/>
    <w:rsid w:val="003C3838"/>
    <w:rsid w:val="003C429E"/>
    <w:rsid w:val="003C434A"/>
    <w:rsid w:val="003C4650"/>
    <w:rsid w:val="003C4C38"/>
    <w:rsid w:val="003C4CCA"/>
    <w:rsid w:val="003C53B5"/>
    <w:rsid w:val="003C53C5"/>
    <w:rsid w:val="003C5525"/>
    <w:rsid w:val="003C5951"/>
    <w:rsid w:val="003C5F24"/>
    <w:rsid w:val="003C6595"/>
    <w:rsid w:val="003C6743"/>
    <w:rsid w:val="003C7204"/>
    <w:rsid w:val="003C77E7"/>
    <w:rsid w:val="003D0051"/>
    <w:rsid w:val="003D0E22"/>
    <w:rsid w:val="003D164D"/>
    <w:rsid w:val="003D23BB"/>
    <w:rsid w:val="003D243D"/>
    <w:rsid w:val="003D2757"/>
    <w:rsid w:val="003D369B"/>
    <w:rsid w:val="003D3F2C"/>
    <w:rsid w:val="003D42EE"/>
    <w:rsid w:val="003D4413"/>
    <w:rsid w:val="003D476B"/>
    <w:rsid w:val="003D4D6D"/>
    <w:rsid w:val="003D4F88"/>
    <w:rsid w:val="003D50CC"/>
    <w:rsid w:val="003D57C7"/>
    <w:rsid w:val="003D5959"/>
    <w:rsid w:val="003D5E66"/>
    <w:rsid w:val="003D6384"/>
    <w:rsid w:val="003D68C6"/>
    <w:rsid w:val="003D6ACE"/>
    <w:rsid w:val="003D6AF0"/>
    <w:rsid w:val="003D6FDF"/>
    <w:rsid w:val="003D7379"/>
    <w:rsid w:val="003D7472"/>
    <w:rsid w:val="003D772D"/>
    <w:rsid w:val="003D78B3"/>
    <w:rsid w:val="003D7AA3"/>
    <w:rsid w:val="003D7AC4"/>
    <w:rsid w:val="003E038A"/>
    <w:rsid w:val="003E04C9"/>
    <w:rsid w:val="003E05E0"/>
    <w:rsid w:val="003E0F83"/>
    <w:rsid w:val="003E1650"/>
    <w:rsid w:val="003E190F"/>
    <w:rsid w:val="003E1DB9"/>
    <w:rsid w:val="003E2895"/>
    <w:rsid w:val="003E2918"/>
    <w:rsid w:val="003E3336"/>
    <w:rsid w:val="003E3853"/>
    <w:rsid w:val="003E387B"/>
    <w:rsid w:val="003E3DD4"/>
    <w:rsid w:val="003E3F07"/>
    <w:rsid w:val="003E4228"/>
    <w:rsid w:val="003E480F"/>
    <w:rsid w:val="003E48AD"/>
    <w:rsid w:val="003E48B7"/>
    <w:rsid w:val="003E48C7"/>
    <w:rsid w:val="003E4D9C"/>
    <w:rsid w:val="003E5483"/>
    <w:rsid w:val="003E54C5"/>
    <w:rsid w:val="003E5941"/>
    <w:rsid w:val="003E5F66"/>
    <w:rsid w:val="003E611C"/>
    <w:rsid w:val="003E681A"/>
    <w:rsid w:val="003E6B1D"/>
    <w:rsid w:val="003E716F"/>
    <w:rsid w:val="003E7282"/>
    <w:rsid w:val="003E74C2"/>
    <w:rsid w:val="003E7A6A"/>
    <w:rsid w:val="003E7CEB"/>
    <w:rsid w:val="003F0131"/>
    <w:rsid w:val="003F0554"/>
    <w:rsid w:val="003F064E"/>
    <w:rsid w:val="003F0947"/>
    <w:rsid w:val="003F0D4E"/>
    <w:rsid w:val="003F0D95"/>
    <w:rsid w:val="003F12B2"/>
    <w:rsid w:val="003F152D"/>
    <w:rsid w:val="003F156E"/>
    <w:rsid w:val="003F1797"/>
    <w:rsid w:val="003F1973"/>
    <w:rsid w:val="003F19B6"/>
    <w:rsid w:val="003F1B1E"/>
    <w:rsid w:val="003F20A7"/>
    <w:rsid w:val="003F3444"/>
    <w:rsid w:val="003F3850"/>
    <w:rsid w:val="003F3B61"/>
    <w:rsid w:val="003F40AD"/>
    <w:rsid w:val="003F4DD2"/>
    <w:rsid w:val="003F5557"/>
    <w:rsid w:val="003F5C61"/>
    <w:rsid w:val="003F5FC1"/>
    <w:rsid w:val="003F65F1"/>
    <w:rsid w:val="003F70AA"/>
    <w:rsid w:val="003F7AC7"/>
    <w:rsid w:val="003F7CBD"/>
    <w:rsid w:val="003F7F31"/>
    <w:rsid w:val="0040031E"/>
    <w:rsid w:val="00400695"/>
    <w:rsid w:val="004006DE"/>
    <w:rsid w:val="00400A8F"/>
    <w:rsid w:val="00401362"/>
    <w:rsid w:val="0040144E"/>
    <w:rsid w:val="00401520"/>
    <w:rsid w:val="00401A14"/>
    <w:rsid w:val="0040205B"/>
    <w:rsid w:val="00402296"/>
    <w:rsid w:val="00402303"/>
    <w:rsid w:val="004025CB"/>
    <w:rsid w:val="004028CF"/>
    <w:rsid w:val="00402D51"/>
    <w:rsid w:val="0040358E"/>
    <w:rsid w:val="004037D7"/>
    <w:rsid w:val="004046B1"/>
    <w:rsid w:val="00404FFC"/>
    <w:rsid w:val="0040555A"/>
    <w:rsid w:val="004055EE"/>
    <w:rsid w:val="00405B0D"/>
    <w:rsid w:val="00405B29"/>
    <w:rsid w:val="00405D50"/>
    <w:rsid w:val="00406340"/>
    <w:rsid w:val="00406370"/>
    <w:rsid w:val="00406832"/>
    <w:rsid w:val="00406A2B"/>
    <w:rsid w:val="00406C8F"/>
    <w:rsid w:val="00406C9C"/>
    <w:rsid w:val="0040725F"/>
    <w:rsid w:val="0040730A"/>
    <w:rsid w:val="00407679"/>
    <w:rsid w:val="00407BF7"/>
    <w:rsid w:val="00410174"/>
    <w:rsid w:val="0041038D"/>
    <w:rsid w:val="0041095B"/>
    <w:rsid w:val="00410B2C"/>
    <w:rsid w:val="00410C27"/>
    <w:rsid w:val="00410CFC"/>
    <w:rsid w:val="0041124C"/>
    <w:rsid w:val="004115C0"/>
    <w:rsid w:val="004117DD"/>
    <w:rsid w:val="00411DFE"/>
    <w:rsid w:val="004122A2"/>
    <w:rsid w:val="00412A7C"/>
    <w:rsid w:val="00412C69"/>
    <w:rsid w:val="00412D3C"/>
    <w:rsid w:val="00412FCB"/>
    <w:rsid w:val="00413074"/>
    <w:rsid w:val="00413327"/>
    <w:rsid w:val="00413856"/>
    <w:rsid w:val="00414868"/>
    <w:rsid w:val="00414DE0"/>
    <w:rsid w:val="00415199"/>
    <w:rsid w:val="0041548D"/>
    <w:rsid w:val="00415599"/>
    <w:rsid w:val="00415C43"/>
    <w:rsid w:val="0041617C"/>
    <w:rsid w:val="004162AE"/>
    <w:rsid w:val="004163F6"/>
    <w:rsid w:val="004169DC"/>
    <w:rsid w:val="00416FDD"/>
    <w:rsid w:val="004170B3"/>
    <w:rsid w:val="0041750C"/>
    <w:rsid w:val="00417541"/>
    <w:rsid w:val="00417594"/>
    <w:rsid w:val="00417BF9"/>
    <w:rsid w:val="004201E4"/>
    <w:rsid w:val="004215A8"/>
    <w:rsid w:val="00421776"/>
    <w:rsid w:val="00421A33"/>
    <w:rsid w:val="00421D42"/>
    <w:rsid w:val="004221C9"/>
    <w:rsid w:val="00422806"/>
    <w:rsid w:val="004232DD"/>
    <w:rsid w:val="00423434"/>
    <w:rsid w:val="00423705"/>
    <w:rsid w:val="00423766"/>
    <w:rsid w:val="00423794"/>
    <w:rsid w:val="0042388A"/>
    <w:rsid w:val="004238CE"/>
    <w:rsid w:val="004238EA"/>
    <w:rsid w:val="00423D40"/>
    <w:rsid w:val="00424779"/>
    <w:rsid w:val="00424820"/>
    <w:rsid w:val="004252A6"/>
    <w:rsid w:val="004257F9"/>
    <w:rsid w:val="0042587A"/>
    <w:rsid w:val="00425ABB"/>
    <w:rsid w:val="00426952"/>
    <w:rsid w:val="0042730F"/>
    <w:rsid w:val="00427DEA"/>
    <w:rsid w:val="00427E6A"/>
    <w:rsid w:val="00427FD8"/>
    <w:rsid w:val="0043043D"/>
    <w:rsid w:val="004309F2"/>
    <w:rsid w:val="00430F0B"/>
    <w:rsid w:val="00431641"/>
    <w:rsid w:val="00431B02"/>
    <w:rsid w:val="00432279"/>
    <w:rsid w:val="0043248C"/>
    <w:rsid w:val="00432766"/>
    <w:rsid w:val="004327BA"/>
    <w:rsid w:val="00433BF2"/>
    <w:rsid w:val="00434724"/>
    <w:rsid w:val="004349BC"/>
    <w:rsid w:val="00434C22"/>
    <w:rsid w:val="0043581B"/>
    <w:rsid w:val="004363CE"/>
    <w:rsid w:val="00436516"/>
    <w:rsid w:val="00437399"/>
    <w:rsid w:val="004378B6"/>
    <w:rsid w:val="00437A68"/>
    <w:rsid w:val="00437D36"/>
    <w:rsid w:val="00440C17"/>
    <w:rsid w:val="00440C87"/>
    <w:rsid w:val="00441083"/>
    <w:rsid w:val="0044109B"/>
    <w:rsid w:val="0044173C"/>
    <w:rsid w:val="00441A0F"/>
    <w:rsid w:val="00442291"/>
    <w:rsid w:val="00442B30"/>
    <w:rsid w:val="00442CB8"/>
    <w:rsid w:val="00442DA1"/>
    <w:rsid w:val="00443242"/>
    <w:rsid w:val="004434A7"/>
    <w:rsid w:val="004434D3"/>
    <w:rsid w:val="00443906"/>
    <w:rsid w:val="0044443D"/>
    <w:rsid w:val="004446E3"/>
    <w:rsid w:val="0044476F"/>
    <w:rsid w:val="00444837"/>
    <w:rsid w:val="00444D5C"/>
    <w:rsid w:val="00444F7A"/>
    <w:rsid w:val="00445897"/>
    <w:rsid w:val="00445B95"/>
    <w:rsid w:val="004464F7"/>
    <w:rsid w:val="0044696D"/>
    <w:rsid w:val="00446B40"/>
    <w:rsid w:val="00446DA3"/>
    <w:rsid w:val="00446F6A"/>
    <w:rsid w:val="00447A8B"/>
    <w:rsid w:val="00450406"/>
    <w:rsid w:val="0045075A"/>
    <w:rsid w:val="0045077F"/>
    <w:rsid w:val="004512CB"/>
    <w:rsid w:val="00451345"/>
    <w:rsid w:val="004516DC"/>
    <w:rsid w:val="00451AC0"/>
    <w:rsid w:val="00451F8D"/>
    <w:rsid w:val="00452501"/>
    <w:rsid w:val="004527EC"/>
    <w:rsid w:val="004529F9"/>
    <w:rsid w:val="00452BEB"/>
    <w:rsid w:val="0045302C"/>
    <w:rsid w:val="0045308A"/>
    <w:rsid w:val="004530E4"/>
    <w:rsid w:val="00453385"/>
    <w:rsid w:val="00453447"/>
    <w:rsid w:val="0045371E"/>
    <w:rsid w:val="00453CE2"/>
    <w:rsid w:val="00453CEA"/>
    <w:rsid w:val="00453D97"/>
    <w:rsid w:val="00453EB9"/>
    <w:rsid w:val="0045402E"/>
    <w:rsid w:val="004541CD"/>
    <w:rsid w:val="004543C1"/>
    <w:rsid w:val="004551D8"/>
    <w:rsid w:val="00455935"/>
    <w:rsid w:val="0045636F"/>
    <w:rsid w:val="0045786A"/>
    <w:rsid w:val="00460146"/>
    <w:rsid w:val="0046087D"/>
    <w:rsid w:val="0046151B"/>
    <w:rsid w:val="00461B76"/>
    <w:rsid w:val="00461D3E"/>
    <w:rsid w:val="0046235A"/>
    <w:rsid w:val="00462ED1"/>
    <w:rsid w:val="00463166"/>
    <w:rsid w:val="00463C8E"/>
    <w:rsid w:val="00463F75"/>
    <w:rsid w:val="0046405C"/>
    <w:rsid w:val="00464261"/>
    <w:rsid w:val="00464E73"/>
    <w:rsid w:val="00465397"/>
    <w:rsid w:val="00465631"/>
    <w:rsid w:val="00465931"/>
    <w:rsid w:val="00466004"/>
    <w:rsid w:val="004660CC"/>
    <w:rsid w:val="0046674C"/>
    <w:rsid w:val="00466925"/>
    <w:rsid w:val="00466A02"/>
    <w:rsid w:val="00466CE6"/>
    <w:rsid w:val="004671DE"/>
    <w:rsid w:val="004678DD"/>
    <w:rsid w:val="00467B1D"/>
    <w:rsid w:val="00467DFD"/>
    <w:rsid w:val="0047066C"/>
    <w:rsid w:val="00470FA5"/>
    <w:rsid w:val="00472107"/>
    <w:rsid w:val="00472940"/>
    <w:rsid w:val="00472B4C"/>
    <w:rsid w:val="004730F3"/>
    <w:rsid w:val="004732ED"/>
    <w:rsid w:val="00473CAC"/>
    <w:rsid w:val="00473DC2"/>
    <w:rsid w:val="00473EC9"/>
    <w:rsid w:val="00474F5C"/>
    <w:rsid w:val="0047551E"/>
    <w:rsid w:val="004757DB"/>
    <w:rsid w:val="00476663"/>
    <w:rsid w:val="00476739"/>
    <w:rsid w:val="00476B52"/>
    <w:rsid w:val="004770E8"/>
    <w:rsid w:val="00477524"/>
    <w:rsid w:val="00477737"/>
    <w:rsid w:val="00477F4F"/>
    <w:rsid w:val="0048032D"/>
    <w:rsid w:val="00480AD1"/>
    <w:rsid w:val="004813BC"/>
    <w:rsid w:val="00481412"/>
    <w:rsid w:val="004814C1"/>
    <w:rsid w:val="004816AB"/>
    <w:rsid w:val="00481A0D"/>
    <w:rsid w:val="004822CD"/>
    <w:rsid w:val="00482528"/>
    <w:rsid w:val="0048280D"/>
    <w:rsid w:val="00482E0B"/>
    <w:rsid w:val="004836DA"/>
    <w:rsid w:val="004836FA"/>
    <w:rsid w:val="00483E31"/>
    <w:rsid w:val="004842B8"/>
    <w:rsid w:val="00484578"/>
    <w:rsid w:val="00484898"/>
    <w:rsid w:val="004855F2"/>
    <w:rsid w:val="00485621"/>
    <w:rsid w:val="0048589A"/>
    <w:rsid w:val="00485BE0"/>
    <w:rsid w:val="00485BEC"/>
    <w:rsid w:val="0048628E"/>
    <w:rsid w:val="00487197"/>
    <w:rsid w:val="004871D4"/>
    <w:rsid w:val="0048797F"/>
    <w:rsid w:val="00487980"/>
    <w:rsid w:val="00487DC0"/>
    <w:rsid w:val="0049013F"/>
    <w:rsid w:val="004902A5"/>
    <w:rsid w:val="004902D5"/>
    <w:rsid w:val="00490DF9"/>
    <w:rsid w:val="00491204"/>
    <w:rsid w:val="0049142C"/>
    <w:rsid w:val="004919C5"/>
    <w:rsid w:val="00491FB2"/>
    <w:rsid w:val="00492424"/>
    <w:rsid w:val="00492C45"/>
    <w:rsid w:val="00493651"/>
    <w:rsid w:val="0049468D"/>
    <w:rsid w:val="004947DE"/>
    <w:rsid w:val="00494EC6"/>
    <w:rsid w:val="004950AD"/>
    <w:rsid w:val="004956D6"/>
    <w:rsid w:val="004956E8"/>
    <w:rsid w:val="0049575A"/>
    <w:rsid w:val="00495AED"/>
    <w:rsid w:val="00496505"/>
    <w:rsid w:val="004968C3"/>
    <w:rsid w:val="0049709E"/>
    <w:rsid w:val="004971EC"/>
    <w:rsid w:val="0049724A"/>
    <w:rsid w:val="004976BA"/>
    <w:rsid w:val="004A0299"/>
    <w:rsid w:val="004A0766"/>
    <w:rsid w:val="004A0BE8"/>
    <w:rsid w:val="004A1044"/>
    <w:rsid w:val="004A112B"/>
    <w:rsid w:val="004A13A9"/>
    <w:rsid w:val="004A1FEE"/>
    <w:rsid w:val="004A2024"/>
    <w:rsid w:val="004A2179"/>
    <w:rsid w:val="004A23A5"/>
    <w:rsid w:val="004A249D"/>
    <w:rsid w:val="004A2C84"/>
    <w:rsid w:val="004A340E"/>
    <w:rsid w:val="004A341B"/>
    <w:rsid w:val="004A379D"/>
    <w:rsid w:val="004A3F91"/>
    <w:rsid w:val="004A4038"/>
    <w:rsid w:val="004A4669"/>
    <w:rsid w:val="004A46B4"/>
    <w:rsid w:val="004A46E6"/>
    <w:rsid w:val="004A4F03"/>
    <w:rsid w:val="004A5294"/>
    <w:rsid w:val="004A55BD"/>
    <w:rsid w:val="004A5B70"/>
    <w:rsid w:val="004A5C25"/>
    <w:rsid w:val="004A6C61"/>
    <w:rsid w:val="004A7414"/>
    <w:rsid w:val="004A7AEB"/>
    <w:rsid w:val="004A7B8D"/>
    <w:rsid w:val="004B08DE"/>
    <w:rsid w:val="004B1268"/>
    <w:rsid w:val="004B12AE"/>
    <w:rsid w:val="004B2AEC"/>
    <w:rsid w:val="004B3C2C"/>
    <w:rsid w:val="004B418C"/>
    <w:rsid w:val="004B41A5"/>
    <w:rsid w:val="004B45BB"/>
    <w:rsid w:val="004B4A7F"/>
    <w:rsid w:val="004B4A9F"/>
    <w:rsid w:val="004B4AA3"/>
    <w:rsid w:val="004B4DD1"/>
    <w:rsid w:val="004B4F75"/>
    <w:rsid w:val="004B5623"/>
    <w:rsid w:val="004B5B19"/>
    <w:rsid w:val="004B6389"/>
    <w:rsid w:val="004B658D"/>
    <w:rsid w:val="004B6AAB"/>
    <w:rsid w:val="004B701D"/>
    <w:rsid w:val="004B7488"/>
    <w:rsid w:val="004B77F0"/>
    <w:rsid w:val="004B7C25"/>
    <w:rsid w:val="004B7CD4"/>
    <w:rsid w:val="004B7DDF"/>
    <w:rsid w:val="004C079E"/>
    <w:rsid w:val="004C09B9"/>
    <w:rsid w:val="004C1284"/>
    <w:rsid w:val="004C1D31"/>
    <w:rsid w:val="004C2234"/>
    <w:rsid w:val="004C288E"/>
    <w:rsid w:val="004C2979"/>
    <w:rsid w:val="004C2AA6"/>
    <w:rsid w:val="004C2C67"/>
    <w:rsid w:val="004C317C"/>
    <w:rsid w:val="004C35A2"/>
    <w:rsid w:val="004C3F89"/>
    <w:rsid w:val="004C4517"/>
    <w:rsid w:val="004C4562"/>
    <w:rsid w:val="004C4680"/>
    <w:rsid w:val="004C4892"/>
    <w:rsid w:val="004C4FDA"/>
    <w:rsid w:val="004C5096"/>
    <w:rsid w:val="004C53CA"/>
    <w:rsid w:val="004C53CC"/>
    <w:rsid w:val="004C5B4E"/>
    <w:rsid w:val="004C5FED"/>
    <w:rsid w:val="004C6E2A"/>
    <w:rsid w:val="004C6E8D"/>
    <w:rsid w:val="004C7546"/>
    <w:rsid w:val="004C7633"/>
    <w:rsid w:val="004C77A2"/>
    <w:rsid w:val="004D17B4"/>
    <w:rsid w:val="004D1A74"/>
    <w:rsid w:val="004D1CEB"/>
    <w:rsid w:val="004D23F9"/>
    <w:rsid w:val="004D2433"/>
    <w:rsid w:val="004D2B3C"/>
    <w:rsid w:val="004D2C94"/>
    <w:rsid w:val="004D2D45"/>
    <w:rsid w:val="004D331D"/>
    <w:rsid w:val="004D395E"/>
    <w:rsid w:val="004D39D6"/>
    <w:rsid w:val="004D3A25"/>
    <w:rsid w:val="004D400F"/>
    <w:rsid w:val="004D4106"/>
    <w:rsid w:val="004D4532"/>
    <w:rsid w:val="004D45DC"/>
    <w:rsid w:val="004D47AA"/>
    <w:rsid w:val="004D50B0"/>
    <w:rsid w:val="004D55C1"/>
    <w:rsid w:val="004D55EA"/>
    <w:rsid w:val="004D5DF8"/>
    <w:rsid w:val="004D5FA5"/>
    <w:rsid w:val="004D611B"/>
    <w:rsid w:val="004D6BAC"/>
    <w:rsid w:val="004D6C1E"/>
    <w:rsid w:val="004D6EC2"/>
    <w:rsid w:val="004D7A1D"/>
    <w:rsid w:val="004D7CA7"/>
    <w:rsid w:val="004D7E04"/>
    <w:rsid w:val="004E028C"/>
    <w:rsid w:val="004E03A9"/>
    <w:rsid w:val="004E11B2"/>
    <w:rsid w:val="004E135D"/>
    <w:rsid w:val="004E1606"/>
    <w:rsid w:val="004E2136"/>
    <w:rsid w:val="004E232E"/>
    <w:rsid w:val="004E2521"/>
    <w:rsid w:val="004E2BD1"/>
    <w:rsid w:val="004E2EBC"/>
    <w:rsid w:val="004E3754"/>
    <w:rsid w:val="004E47DE"/>
    <w:rsid w:val="004E4CF1"/>
    <w:rsid w:val="004E4E2D"/>
    <w:rsid w:val="004E4E4B"/>
    <w:rsid w:val="004E5298"/>
    <w:rsid w:val="004E594B"/>
    <w:rsid w:val="004E5C3D"/>
    <w:rsid w:val="004E68FA"/>
    <w:rsid w:val="004E6E05"/>
    <w:rsid w:val="004E7FF9"/>
    <w:rsid w:val="004F0337"/>
    <w:rsid w:val="004F0BD7"/>
    <w:rsid w:val="004F17C4"/>
    <w:rsid w:val="004F18BD"/>
    <w:rsid w:val="004F1A53"/>
    <w:rsid w:val="004F1BB5"/>
    <w:rsid w:val="004F2409"/>
    <w:rsid w:val="004F281A"/>
    <w:rsid w:val="004F2886"/>
    <w:rsid w:val="004F2C0D"/>
    <w:rsid w:val="004F3713"/>
    <w:rsid w:val="004F3D55"/>
    <w:rsid w:val="004F3E47"/>
    <w:rsid w:val="004F4238"/>
    <w:rsid w:val="004F48C0"/>
    <w:rsid w:val="004F4D7B"/>
    <w:rsid w:val="004F4E8A"/>
    <w:rsid w:val="004F4F51"/>
    <w:rsid w:val="004F51CC"/>
    <w:rsid w:val="004F613E"/>
    <w:rsid w:val="004F632E"/>
    <w:rsid w:val="004F65C1"/>
    <w:rsid w:val="004F6777"/>
    <w:rsid w:val="004F6EE5"/>
    <w:rsid w:val="004F7910"/>
    <w:rsid w:val="004F7EC0"/>
    <w:rsid w:val="00500216"/>
    <w:rsid w:val="0050052E"/>
    <w:rsid w:val="00500611"/>
    <w:rsid w:val="00501011"/>
    <w:rsid w:val="005019C9"/>
    <w:rsid w:val="00501CDD"/>
    <w:rsid w:val="00501E24"/>
    <w:rsid w:val="00503AE6"/>
    <w:rsid w:val="00503BA0"/>
    <w:rsid w:val="00503C1B"/>
    <w:rsid w:val="00503FDA"/>
    <w:rsid w:val="00504133"/>
    <w:rsid w:val="00504362"/>
    <w:rsid w:val="005045F5"/>
    <w:rsid w:val="0050489A"/>
    <w:rsid w:val="00504D0E"/>
    <w:rsid w:val="00505380"/>
    <w:rsid w:val="005057E8"/>
    <w:rsid w:val="00505FFA"/>
    <w:rsid w:val="005061BC"/>
    <w:rsid w:val="00506307"/>
    <w:rsid w:val="0050694A"/>
    <w:rsid w:val="00507421"/>
    <w:rsid w:val="005079F8"/>
    <w:rsid w:val="00507B6D"/>
    <w:rsid w:val="0051034C"/>
    <w:rsid w:val="00510500"/>
    <w:rsid w:val="005106F1"/>
    <w:rsid w:val="005106FE"/>
    <w:rsid w:val="005108A0"/>
    <w:rsid w:val="00510AF1"/>
    <w:rsid w:val="00510B05"/>
    <w:rsid w:val="00510E33"/>
    <w:rsid w:val="00510E3F"/>
    <w:rsid w:val="0051151D"/>
    <w:rsid w:val="00511EDB"/>
    <w:rsid w:val="00512309"/>
    <w:rsid w:val="00512981"/>
    <w:rsid w:val="00513859"/>
    <w:rsid w:val="00513905"/>
    <w:rsid w:val="00514169"/>
    <w:rsid w:val="005142E7"/>
    <w:rsid w:val="00514BDE"/>
    <w:rsid w:val="00514CBB"/>
    <w:rsid w:val="00514EFB"/>
    <w:rsid w:val="005153E7"/>
    <w:rsid w:val="00515567"/>
    <w:rsid w:val="005157B7"/>
    <w:rsid w:val="00515B8A"/>
    <w:rsid w:val="00515EFE"/>
    <w:rsid w:val="0051619B"/>
    <w:rsid w:val="00516420"/>
    <w:rsid w:val="00516791"/>
    <w:rsid w:val="0051689C"/>
    <w:rsid w:val="00516D9C"/>
    <w:rsid w:val="00517074"/>
    <w:rsid w:val="0051785E"/>
    <w:rsid w:val="00517B09"/>
    <w:rsid w:val="00517D23"/>
    <w:rsid w:val="00520DEF"/>
    <w:rsid w:val="00520F3A"/>
    <w:rsid w:val="005212D9"/>
    <w:rsid w:val="0052142B"/>
    <w:rsid w:val="00521722"/>
    <w:rsid w:val="005218AD"/>
    <w:rsid w:val="00521B48"/>
    <w:rsid w:val="005221A5"/>
    <w:rsid w:val="005222CB"/>
    <w:rsid w:val="00522FDB"/>
    <w:rsid w:val="00523960"/>
    <w:rsid w:val="00523EAA"/>
    <w:rsid w:val="0052442B"/>
    <w:rsid w:val="00524735"/>
    <w:rsid w:val="00524D7C"/>
    <w:rsid w:val="00524E0F"/>
    <w:rsid w:val="005253FF"/>
    <w:rsid w:val="0052549D"/>
    <w:rsid w:val="00525CDE"/>
    <w:rsid w:val="00525F75"/>
    <w:rsid w:val="00526111"/>
    <w:rsid w:val="005261E8"/>
    <w:rsid w:val="00527427"/>
    <w:rsid w:val="005274DB"/>
    <w:rsid w:val="00527992"/>
    <w:rsid w:val="005300AE"/>
    <w:rsid w:val="00530A19"/>
    <w:rsid w:val="00530D29"/>
    <w:rsid w:val="0053107F"/>
    <w:rsid w:val="00531082"/>
    <w:rsid w:val="00531156"/>
    <w:rsid w:val="005313E1"/>
    <w:rsid w:val="005315C9"/>
    <w:rsid w:val="005318A9"/>
    <w:rsid w:val="00531D83"/>
    <w:rsid w:val="00532155"/>
    <w:rsid w:val="00532E7D"/>
    <w:rsid w:val="005332A4"/>
    <w:rsid w:val="005335F9"/>
    <w:rsid w:val="0053387B"/>
    <w:rsid w:val="00533C6F"/>
    <w:rsid w:val="0053514B"/>
    <w:rsid w:val="005351B8"/>
    <w:rsid w:val="005357E0"/>
    <w:rsid w:val="0053616C"/>
    <w:rsid w:val="0053734C"/>
    <w:rsid w:val="005402EA"/>
    <w:rsid w:val="00540ACD"/>
    <w:rsid w:val="0054116B"/>
    <w:rsid w:val="00541739"/>
    <w:rsid w:val="0054182F"/>
    <w:rsid w:val="00541B6D"/>
    <w:rsid w:val="005422A8"/>
    <w:rsid w:val="0054245E"/>
    <w:rsid w:val="005437B2"/>
    <w:rsid w:val="0054399F"/>
    <w:rsid w:val="005439D5"/>
    <w:rsid w:val="00543E65"/>
    <w:rsid w:val="00543EE1"/>
    <w:rsid w:val="00544486"/>
    <w:rsid w:val="005450DF"/>
    <w:rsid w:val="00545D34"/>
    <w:rsid w:val="0054652D"/>
    <w:rsid w:val="005467CC"/>
    <w:rsid w:val="00546908"/>
    <w:rsid w:val="00547B08"/>
    <w:rsid w:val="00550084"/>
    <w:rsid w:val="005503C6"/>
    <w:rsid w:val="00550AFE"/>
    <w:rsid w:val="00550D5C"/>
    <w:rsid w:val="005510E9"/>
    <w:rsid w:val="005512A5"/>
    <w:rsid w:val="00551628"/>
    <w:rsid w:val="00551E49"/>
    <w:rsid w:val="00552184"/>
    <w:rsid w:val="0055265E"/>
    <w:rsid w:val="00552952"/>
    <w:rsid w:val="00552AD1"/>
    <w:rsid w:val="00553614"/>
    <w:rsid w:val="0055376E"/>
    <w:rsid w:val="00553AF8"/>
    <w:rsid w:val="00553D42"/>
    <w:rsid w:val="00553D93"/>
    <w:rsid w:val="00553E70"/>
    <w:rsid w:val="00554644"/>
    <w:rsid w:val="005550BE"/>
    <w:rsid w:val="00555793"/>
    <w:rsid w:val="005557E1"/>
    <w:rsid w:val="00555B62"/>
    <w:rsid w:val="005561C3"/>
    <w:rsid w:val="00556633"/>
    <w:rsid w:val="0055690E"/>
    <w:rsid w:val="00556A81"/>
    <w:rsid w:val="00556DC8"/>
    <w:rsid w:val="00556F80"/>
    <w:rsid w:val="00557405"/>
    <w:rsid w:val="00557A9B"/>
    <w:rsid w:val="00557AD0"/>
    <w:rsid w:val="00557CD9"/>
    <w:rsid w:val="00560167"/>
    <w:rsid w:val="00560394"/>
    <w:rsid w:val="00560A36"/>
    <w:rsid w:val="00560A8D"/>
    <w:rsid w:val="00561331"/>
    <w:rsid w:val="00561E06"/>
    <w:rsid w:val="00561ED4"/>
    <w:rsid w:val="005620C0"/>
    <w:rsid w:val="0056233E"/>
    <w:rsid w:val="005625E7"/>
    <w:rsid w:val="005628C5"/>
    <w:rsid w:val="00562B96"/>
    <w:rsid w:val="00562BE4"/>
    <w:rsid w:val="0056368E"/>
    <w:rsid w:val="005636A7"/>
    <w:rsid w:val="005639B3"/>
    <w:rsid w:val="00563AFD"/>
    <w:rsid w:val="00563F63"/>
    <w:rsid w:val="00564028"/>
    <w:rsid w:val="0056468B"/>
    <w:rsid w:val="00564ED6"/>
    <w:rsid w:val="00566477"/>
    <w:rsid w:val="00566528"/>
    <w:rsid w:val="005665E3"/>
    <w:rsid w:val="00566AC3"/>
    <w:rsid w:val="00566B63"/>
    <w:rsid w:val="00566E7C"/>
    <w:rsid w:val="00566EAC"/>
    <w:rsid w:val="00566EC4"/>
    <w:rsid w:val="005672BD"/>
    <w:rsid w:val="00567573"/>
    <w:rsid w:val="00567A71"/>
    <w:rsid w:val="00567D25"/>
    <w:rsid w:val="00567F3B"/>
    <w:rsid w:val="005708D0"/>
    <w:rsid w:val="00570A8D"/>
    <w:rsid w:val="005714F0"/>
    <w:rsid w:val="005715B8"/>
    <w:rsid w:val="00571698"/>
    <w:rsid w:val="005716F3"/>
    <w:rsid w:val="00571D1E"/>
    <w:rsid w:val="00571D23"/>
    <w:rsid w:val="005723D8"/>
    <w:rsid w:val="0057297A"/>
    <w:rsid w:val="00572C26"/>
    <w:rsid w:val="00573897"/>
    <w:rsid w:val="005739F3"/>
    <w:rsid w:val="00574925"/>
    <w:rsid w:val="00574E20"/>
    <w:rsid w:val="005750AF"/>
    <w:rsid w:val="005753C9"/>
    <w:rsid w:val="0057636E"/>
    <w:rsid w:val="005764B7"/>
    <w:rsid w:val="00576B4C"/>
    <w:rsid w:val="00576BC4"/>
    <w:rsid w:val="005774E5"/>
    <w:rsid w:val="0057774D"/>
    <w:rsid w:val="00580896"/>
    <w:rsid w:val="00580C18"/>
    <w:rsid w:val="00580CA3"/>
    <w:rsid w:val="00580E71"/>
    <w:rsid w:val="00580F8E"/>
    <w:rsid w:val="0058120B"/>
    <w:rsid w:val="00581671"/>
    <w:rsid w:val="00581ECA"/>
    <w:rsid w:val="005825D5"/>
    <w:rsid w:val="005826AC"/>
    <w:rsid w:val="00582B93"/>
    <w:rsid w:val="00583322"/>
    <w:rsid w:val="005834C6"/>
    <w:rsid w:val="00584A87"/>
    <w:rsid w:val="00585072"/>
    <w:rsid w:val="005867FF"/>
    <w:rsid w:val="0058736E"/>
    <w:rsid w:val="00587577"/>
    <w:rsid w:val="0059011C"/>
    <w:rsid w:val="005906CB"/>
    <w:rsid w:val="0059076C"/>
    <w:rsid w:val="005909C0"/>
    <w:rsid w:val="005910AB"/>
    <w:rsid w:val="005911CE"/>
    <w:rsid w:val="0059131D"/>
    <w:rsid w:val="0059150B"/>
    <w:rsid w:val="0059248E"/>
    <w:rsid w:val="00592836"/>
    <w:rsid w:val="00592ED9"/>
    <w:rsid w:val="005931C0"/>
    <w:rsid w:val="005933C8"/>
    <w:rsid w:val="00593863"/>
    <w:rsid w:val="00593D07"/>
    <w:rsid w:val="00594325"/>
    <w:rsid w:val="00594957"/>
    <w:rsid w:val="00594A25"/>
    <w:rsid w:val="005953EC"/>
    <w:rsid w:val="00595DC2"/>
    <w:rsid w:val="00596290"/>
    <w:rsid w:val="00596B41"/>
    <w:rsid w:val="0059701A"/>
    <w:rsid w:val="00597389"/>
    <w:rsid w:val="00597455"/>
    <w:rsid w:val="00597A4E"/>
    <w:rsid w:val="00597D4F"/>
    <w:rsid w:val="005A06EE"/>
    <w:rsid w:val="005A07AF"/>
    <w:rsid w:val="005A07D7"/>
    <w:rsid w:val="005A0946"/>
    <w:rsid w:val="005A0D8A"/>
    <w:rsid w:val="005A1573"/>
    <w:rsid w:val="005A194F"/>
    <w:rsid w:val="005A1A9F"/>
    <w:rsid w:val="005A2045"/>
    <w:rsid w:val="005A2AD6"/>
    <w:rsid w:val="005A2C64"/>
    <w:rsid w:val="005A2EF6"/>
    <w:rsid w:val="005A30D9"/>
    <w:rsid w:val="005A33C0"/>
    <w:rsid w:val="005A35A9"/>
    <w:rsid w:val="005A37FB"/>
    <w:rsid w:val="005A3E86"/>
    <w:rsid w:val="005A45BE"/>
    <w:rsid w:val="005A487E"/>
    <w:rsid w:val="005A4DD2"/>
    <w:rsid w:val="005A4DEC"/>
    <w:rsid w:val="005A4F35"/>
    <w:rsid w:val="005A5020"/>
    <w:rsid w:val="005A53F4"/>
    <w:rsid w:val="005A6232"/>
    <w:rsid w:val="005A6C1D"/>
    <w:rsid w:val="005A7B38"/>
    <w:rsid w:val="005A7E3D"/>
    <w:rsid w:val="005B0083"/>
    <w:rsid w:val="005B11C7"/>
    <w:rsid w:val="005B12EA"/>
    <w:rsid w:val="005B1381"/>
    <w:rsid w:val="005B19B0"/>
    <w:rsid w:val="005B201D"/>
    <w:rsid w:val="005B2336"/>
    <w:rsid w:val="005B254E"/>
    <w:rsid w:val="005B2662"/>
    <w:rsid w:val="005B2750"/>
    <w:rsid w:val="005B2C26"/>
    <w:rsid w:val="005B346E"/>
    <w:rsid w:val="005B3A7D"/>
    <w:rsid w:val="005B3AA0"/>
    <w:rsid w:val="005B4CCD"/>
    <w:rsid w:val="005B4CDB"/>
    <w:rsid w:val="005B4D8D"/>
    <w:rsid w:val="005B4FAA"/>
    <w:rsid w:val="005B4FD7"/>
    <w:rsid w:val="005B5691"/>
    <w:rsid w:val="005B56CC"/>
    <w:rsid w:val="005B5B54"/>
    <w:rsid w:val="005B6DF8"/>
    <w:rsid w:val="005B6EBB"/>
    <w:rsid w:val="005C08AE"/>
    <w:rsid w:val="005C0C6C"/>
    <w:rsid w:val="005C0D64"/>
    <w:rsid w:val="005C0F89"/>
    <w:rsid w:val="005C1661"/>
    <w:rsid w:val="005C1D01"/>
    <w:rsid w:val="005C2459"/>
    <w:rsid w:val="005C25D0"/>
    <w:rsid w:val="005C25FA"/>
    <w:rsid w:val="005C2BCE"/>
    <w:rsid w:val="005C2C96"/>
    <w:rsid w:val="005C2E09"/>
    <w:rsid w:val="005C2EBB"/>
    <w:rsid w:val="005C347C"/>
    <w:rsid w:val="005C3A67"/>
    <w:rsid w:val="005C431F"/>
    <w:rsid w:val="005C4488"/>
    <w:rsid w:val="005C4AD4"/>
    <w:rsid w:val="005C4F92"/>
    <w:rsid w:val="005C50E2"/>
    <w:rsid w:val="005C5103"/>
    <w:rsid w:val="005C5700"/>
    <w:rsid w:val="005C6971"/>
    <w:rsid w:val="005C6CB5"/>
    <w:rsid w:val="005C7135"/>
    <w:rsid w:val="005C7500"/>
    <w:rsid w:val="005C797F"/>
    <w:rsid w:val="005D0527"/>
    <w:rsid w:val="005D052B"/>
    <w:rsid w:val="005D0781"/>
    <w:rsid w:val="005D0B74"/>
    <w:rsid w:val="005D1115"/>
    <w:rsid w:val="005D136D"/>
    <w:rsid w:val="005D1961"/>
    <w:rsid w:val="005D1CA1"/>
    <w:rsid w:val="005D2490"/>
    <w:rsid w:val="005D24B5"/>
    <w:rsid w:val="005D2660"/>
    <w:rsid w:val="005D2DBD"/>
    <w:rsid w:val="005D2ECA"/>
    <w:rsid w:val="005D36ED"/>
    <w:rsid w:val="005D3B47"/>
    <w:rsid w:val="005D3F74"/>
    <w:rsid w:val="005D4409"/>
    <w:rsid w:val="005D4639"/>
    <w:rsid w:val="005D47AA"/>
    <w:rsid w:val="005D48CE"/>
    <w:rsid w:val="005D4C41"/>
    <w:rsid w:val="005D4D4B"/>
    <w:rsid w:val="005D4E12"/>
    <w:rsid w:val="005D5E1A"/>
    <w:rsid w:val="005D69FF"/>
    <w:rsid w:val="005D6C66"/>
    <w:rsid w:val="005D6CBD"/>
    <w:rsid w:val="005D7E55"/>
    <w:rsid w:val="005E04E7"/>
    <w:rsid w:val="005E058D"/>
    <w:rsid w:val="005E07C9"/>
    <w:rsid w:val="005E16E8"/>
    <w:rsid w:val="005E1BCC"/>
    <w:rsid w:val="005E1D4B"/>
    <w:rsid w:val="005E1F15"/>
    <w:rsid w:val="005E2420"/>
    <w:rsid w:val="005E2C9F"/>
    <w:rsid w:val="005E2CBB"/>
    <w:rsid w:val="005E2F1E"/>
    <w:rsid w:val="005E2F6B"/>
    <w:rsid w:val="005E365E"/>
    <w:rsid w:val="005E3C83"/>
    <w:rsid w:val="005E42AC"/>
    <w:rsid w:val="005E4311"/>
    <w:rsid w:val="005E4BA8"/>
    <w:rsid w:val="005E531A"/>
    <w:rsid w:val="005E552B"/>
    <w:rsid w:val="005E5807"/>
    <w:rsid w:val="005E5CA8"/>
    <w:rsid w:val="005E60D4"/>
    <w:rsid w:val="005E65D9"/>
    <w:rsid w:val="005E69D6"/>
    <w:rsid w:val="005E6A83"/>
    <w:rsid w:val="005E7A06"/>
    <w:rsid w:val="005E7C16"/>
    <w:rsid w:val="005F05A8"/>
    <w:rsid w:val="005F074E"/>
    <w:rsid w:val="005F10F3"/>
    <w:rsid w:val="005F11FF"/>
    <w:rsid w:val="005F14CB"/>
    <w:rsid w:val="005F2846"/>
    <w:rsid w:val="005F292D"/>
    <w:rsid w:val="005F2B33"/>
    <w:rsid w:val="005F2C23"/>
    <w:rsid w:val="005F2F68"/>
    <w:rsid w:val="005F379F"/>
    <w:rsid w:val="005F3841"/>
    <w:rsid w:val="005F4116"/>
    <w:rsid w:val="005F4806"/>
    <w:rsid w:val="005F48E4"/>
    <w:rsid w:val="005F53B7"/>
    <w:rsid w:val="005F5E38"/>
    <w:rsid w:val="005F629C"/>
    <w:rsid w:val="005F62D2"/>
    <w:rsid w:val="005F641E"/>
    <w:rsid w:val="005F65CE"/>
    <w:rsid w:val="005F6C39"/>
    <w:rsid w:val="005F76AC"/>
    <w:rsid w:val="005F7713"/>
    <w:rsid w:val="005F7B9B"/>
    <w:rsid w:val="005F7E7B"/>
    <w:rsid w:val="005F7F37"/>
    <w:rsid w:val="0060048A"/>
    <w:rsid w:val="0060093D"/>
    <w:rsid w:val="00600D60"/>
    <w:rsid w:val="00600E80"/>
    <w:rsid w:val="0060188E"/>
    <w:rsid w:val="00601AF2"/>
    <w:rsid w:val="00601D99"/>
    <w:rsid w:val="00601EA7"/>
    <w:rsid w:val="00602110"/>
    <w:rsid w:val="00602541"/>
    <w:rsid w:val="00602617"/>
    <w:rsid w:val="0060378A"/>
    <w:rsid w:val="0060463A"/>
    <w:rsid w:val="0060474C"/>
    <w:rsid w:val="00604787"/>
    <w:rsid w:val="0060479A"/>
    <w:rsid w:val="00604B95"/>
    <w:rsid w:val="00604BBE"/>
    <w:rsid w:val="00604E63"/>
    <w:rsid w:val="006052CC"/>
    <w:rsid w:val="00605411"/>
    <w:rsid w:val="00605DD4"/>
    <w:rsid w:val="00605E81"/>
    <w:rsid w:val="006061C7"/>
    <w:rsid w:val="006065F7"/>
    <w:rsid w:val="006067DF"/>
    <w:rsid w:val="00606875"/>
    <w:rsid w:val="00606942"/>
    <w:rsid w:val="00606B7B"/>
    <w:rsid w:val="0060795D"/>
    <w:rsid w:val="00607ACF"/>
    <w:rsid w:val="00607D7A"/>
    <w:rsid w:val="00607E93"/>
    <w:rsid w:val="0061053C"/>
    <w:rsid w:val="0061108A"/>
    <w:rsid w:val="0061189A"/>
    <w:rsid w:val="00611C95"/>
    <w:rsid w:val="006121FE"/>
    <w:rsid w:val="0061265E"/>
    <w:rsid w:val="00612D6C"/>
    <w:rsid w:val="00613009"/>
    <w:rsid w:val="006131F5"/>
    <w:rsid w:val="00613CF8"/>
    <w:rsid w:val="00613ECD"/>
    <w:rsid w:val="006143DB"/>
    <w:rsid w:val="0061457C"/>
    <w:rsid w:val="00614590"/>
    <w:rsid w:val="006145F0"/>
    <w:rsid w:val="0061462A"/>
    <w:rsid w:val="006146DE"/>
    <w:rsid w:val="0061470F"/>
    <w:rsid w:val="00614903"/>
    <w:rsid w:val="00615211"/>
    <w:rsid w:val="006156F6"/>
    <w:rsid w:val="00615AFC"/>
    <w:rsid w:val="00615F74"/>
    <w:rsid w:val="006165F4"/>
    <w:rsid w:val="006171FD"/>
    <w:rsid w:val="0061784C"/>
    <w:rsid w:val="00620679"/>
    <w:rsid w:val="00620A6E"/>
    <w:rsid w:val="00621018"/>
    <w:rsid w:val="0062104A"/>
    <w:rsid w:val="00621605"/>
    <w:rsid w:val="00621A37"/>
    <w:rsid w:val="00621FE7"/>
    <w:rsid w:val="00622C82"/>
    <w:rsid w:val="006232AC"/>
    <w:rsid w:val="00623F5C"/>
    <w:rsid w:val="0062442C"/>
    <w:rsid w:val="00624827"/>
    <w:rsid w:val="00624AA8"/>
    <w:rsid w:val="00624DC3"/>
    <w:rsid w:val="006254C1"/>
    <w:rsid w:val="00625897"/>
    <w:rsid w:val="00625E30"/>
    <w:rsid w:val="006260DF"/>
    <w:rsid w:val="006261DB"/>
    <w:rsid w:val="006263EE"/>
    <w:rsid w:val="006267BD"/>
    <w:rsid w:val="00626B90"/>
    <w:rsid w:val="00626DB3"/>
    <w:rsid w:val="00626FE5"/>
    <w:rsid w:val="006277AE"/>
    <w:rsid w:val="00630262"/>
    <w:rsid w:val="006302A6"/>
    <w:rsid w:val="006302F1"/>
    <w:rsid w:val="006302F2"/>
    <w:rsid w:val="00630670"/>
    <w:rsid w:val="00630835"/>
    <w:rsid w:val="00630B8E"/>
    <w:rsid w:val="00630C23"/>
    <w:rsid w:val="00630E34"/>
    <w:rsid w:val="0063133D"/>
    <w:rsid w:val="006316F0"/>
    <w:rsid w:val="006317F7"/>
    <w:rsid w:val="00632215"/>
    <w:rsid w:val="00632BAA"/>
    <w:rsid w:val="00633080"/>
    <w:rsid w:val="0063389F"/>
    <w:rsid w:val="00633E42"/>
    <w:rsid w:val="006351E3"/>
    <w:rsid w:val="006359AB"/>
    <w:rsid w:val="00635F11"/>
    <w:rsid w:val="00635F96"/>
    <w:rsid w:val="00636A15"/>
    <w:rsid w:val="00636F98"/>
    <w:rsid w:val="006370A9"/>
    <w:rsid w:val="006374FD"/>
    <w:rsid w:val="00637FCD"/>
    <w:rsid w:val="006406D8"/>
    <w:rsid w:val="00640F72"/>
    <w:rsid w:val="006410D2"/>
    <w:rsid w:val="00641268"/>
    <w:rsid w:val="006416EC"/>
    <w:rsid w:val="006418B0"/>
    <w:rsid w:val="006422AD"/>
    <w:rsid w:val="00642EB7"/>
    <w:rsid w:val="006431BA"/>
    <w:rsid w:val="006433BC"/>
    <w:rsid w:val="006436B5"/>
    <w:rsid w:val="00643C91"/>
    <w:rsid w:val="00644D4F"/>
    <w:rsid w:val="006457AF"/>
    <w:rsid w:val="00645E2F"/>
    <w:rsid w:val="00646B77"/>
    <w:rsid w:val="00646F64"/>
    <w:rsid w:val="006477A1"/>
    <w:rsid w:val="0065055F"/>
    <w:rsid w:val="00650C1E"/>
    <w:rsid w:val="0065112B"/>
    <w:rsid w:val="0065113B"/>
    <w:rsid w:val="006511F5"/>
    <w:rsid w:val="00651D30"/>
    <w:rsid w:val="006521D4"/>
    <w:rsid w:val="006523B0"/>
    <w:rsid w:val="006526D1"/>
    <w:rsid w:val="00652D6A"/>
    <w:rsid w:val="0065320F"/>
    <w:rsid w:val="0065324C"/>
    <w:rsid w:val="00653413"/>
    <w:rsid w:val="0065342E"/>
    <w:rsid w:val="006537B1"/>
    <w:rsid w:val="00653BE2"/>
    <w:rsid w:val="006545C1"/>
    <w:rsid w:val="0065460C"/>
    <w:rsid w:val="00654BC9"/>
    <w:rsid w:val="0065518B"/>
    <w:rsid w:val="006557FE"/>
    <w:rsid w:val="00656039"/>
    <w:rsid w:val="00656830"/>
    <w:rsid w:val="00656EC0"/>
    <w:rsid w:val="006571D5"/>
    <w:rsid w:val="00660128"/>
    <w:rsid w:val="006602BB"/>
    <w:rsid w:val="006607BF"/>
    <w:rsid w:val="0066124A"/>
    <w:rsid w:val="00661AFC"/>
    <w:rsid w:val="00661FA3"/>
    <w:rsid w:val="006622D2"/>
    <w:rsid w:val="006626CC"/>
    <w:rsid w:val="00662932"/>
    <w:rsid w:val="00662A12"/>
    <w:rsid w:val="00662D4D"/>
    <w:rsid w:val="00662D62"/>
    <w:rsid w:val="00662FB2"/>
    <w:rsid w:val="006634D4"/>
    <w:rsid w:val="00663750"/>
    <w:rsid w:val="00663BBB"/>
    <w:rsid w:val="00663C7B"/>
    <w:rsid w:val="00663FD6"/>
    <w:rsid w:val="00664970"/>
    <w:rsid w:val="00664A11"/>
    <w:rsid w:val="00664C36"/>
    <w:rsid w:val="0066502D"/>
    <w:rsid w:val="006655C6"/>
    <w:rsid w:val="00665E0B"/>
    <w:rsid w:val="0066619F"/>
    <w:rsid w:val="006662B5"/>
    <w:rsid w:val="0066645F"/>
    <w:rsid w:val="0066715E"/>
    <w:rsid w:val="006673C2"/>
    <w:rsid w:val="00667403"/>
    <w:rsid w:val="00667898"/>
    <w:rsid w:val="00667D7B"/>
    <w:rsid w:val="00667E4E"/>
    <w:rsid w:val="006701E2"/>
    <w:rsid w:val="006706F1"/>
    <w:rsid w:val="00670779"/>
    <w:rsid w:val="0067087D"/>
    <w:rsid w:val="0067094F"/>
    <w:rsid w:val="00670EC9"/>
    <w:rsid w:val="00671199"/>
    <w:rsid w:val="006715CF"/>
    <w:rsid w:val="00671D02"/>
    <w:rsid w:val="0067206D"/>
    <w:rsid w:val="006722F8"/>
    <w:rsid w:val="006728A6"/>
    <w:rsid w:val="006731F5"/>
    <w:rsid w:val="00673701"/>
    <w:rsid w:val="006737B5"/>
    <w:rsid w:val="00673867"/>
    <w:rsid w:val="00673A71"/>
    <w:rsid w:val="00673AB1"/>
    <w:rsid w:val="006740BF"/>
    <w:rsid w:val="0067467E"/>
    <w:rsid w:val="00674B7F"/>
    <w:rsid w:val="00675272"/>
    <w:rsid w:val="0067576A"/>
    <w:rsid w:val="006761FE"/>
    <w:rsid w:val="00676964"/>
    <w:rsid w:val="00676A61"/>
    <w:rsid w:val="00676CE6"/>
    <w:rsid w:val="0067735A"/>
    <w:rsid w:val="006775B2"/>
    <w:rsid w:val="006777A0"/>
    <w:rsid w:val="006777D3"/>
    <w:rsid w:val="00677942"/>
    <w:rsid w:val="00677C50"/>
    <w:rsid w:val="00680695"/>
    <w:rsid w:val="00680AB6"/>
    <w:rsid w:val="00680D94"/>
    <w:rsid w:val="00681979"/>
    <w:rsid w:val="00681AD5"/>
    <w:rsid w:val="006829FC"/>
    <w:rsid w:val="00682C92"/>
    <w:rsid w:val="00683BB0"/>
    <w:rsid w:val="00684112"/>
    <w:rsid w:val="00684118"/>
    <w:rsid w:val="00684234"/>
    <w:rsid w:val="0068437F"/>
    <w:rsid w:val="00684805"/>
    <w:rsid w:val="006854A5"/>
    <w:rsid w:val="006859AF"/>
    <w:rsid w:val="0068669F"/>
    <w:rsid w:val="00686A19"/>
    <w:rsid w:val="00686BF9"/>
    <w:rsid w:val="006873C1"/>
    <w:rsid w:val="00687612"/>
    <w:rsid w:val="00687751"/>
    <w:rsid w:val="00690CDB"/>
    <w:rsid w:val="00690DAA"/>
    <w:rsid w:val="0069109C"/>
    <w:rsid w:val="006917B3"/>
    <w:rsid w:val="00691D68"/>
    <w:rsid w:val="00691EEA"/>
    <w:rsid w:val="006925F7"/>
    <w:rsid w:val="00692896"/>
    <w:rsid w:val="006929F0"/>
    <w:rsid w:val="00692B2E"/>
    <w:rsid w:val="0069343C"/>
    <w:rsid w:val="00694078"/>
    <w:rsid w:val="00694A64"/>
    <w:rsid w:val="00694D06"/>
    <w:rsid w:val="00694DA2"/>
    <w:rsid w:val="00695F50"/>
    <w:rsid w:val="0069601E"/>
    <w:rsid w:val="00696554"/>
    <w:rsid w:val="00696713"/>
    <w:rsid w:val="006975EF"/>
    <w:rsid w:val="006A0037"/>
    <w:rsid w:val="006A042D"/>
    <w:rsid w:val="006A049E"/>
    <w:rsid w:val="006A0665"/>
    <w:rsid w:val="006A0C6F"/>
    <w:rsid w:val="006A0CCF"/>
    <w:rsid w:val="006A0F38"/>
    <w:rsid w:val="006A1275"/>
    <w:rsid w:val="006A20B4"/>
    <w:rsid w:val="006A271A"/>
    <w:rsid w:val="006A2AC3"/>
    <w:rsid w:val="006A2C6C"/>
    <w:rsid w:val="006A3663"/>
    <w:rsid w:val="006A37E0"/>
    <w:rsid w:val="006A3A83"/>
    <w:rsid w:val="006A3FEB"/>
    <w:rsid w:val="006A4A44"/>
    <w:rsid w:val="006A64B0"/>
    <w:rsid w:val="006A66F3"/>
    <w:rsid w:val="006A735D"/>
    <w:rsid w:val="006A768F"/>
    <w:rsid w:val="006A7847"/>
    <w:rsid w:val="006A7BF2"/>
    <w:rsid w:val="006A7DFC"/>
    <w:rsid w:val="006B0F5D"/>
    <w:rsid w:val="006B0F85"/>
    <w:rsid w:val="006B1077"/>
    <w:rsid w:val="006B14C9"/>
    <w:rsid w:val="006B2903"/>
    <w:rsid w:val="006B2B80"/>
    <w:rsid w:val="006B2ED5"/>
    <w:rsid w:val="006B3191"/>
    <w:rsid w:val="006B31D1"/>
    <w:rsid w:val="006B34F1"/>
    <w:rsid w:val="006B3F07"/>
    <w:rsid w:val="006B3F52"/>
    <w:rsid w:val="006B470B"/>
    <w:rsid w:val="006B4734"/>
    <w:rsid w:val="006B4933"/>
    <w:rsid w:val="006B4C46"/>
    <w:rsid w:val="006B5481"/>
    <w:rsid w:val="006B54A4"/>
    <w:rsid w:val="006B5871"/>
    <w:rsid w:val="006B5C18"/>
    <w:rsid w:val="006B6638"/>
    <w:rsid w:val="006B6A1E"/>
    <w:rsid w:val="006B6B76"/>
    <w:rsid w:val="006B70A8"/>
    <w:rsid w:val="006B730F"/>
    <w:rsid w:val="006B77E4"/>
    <w:rsid w:val="006B7D72"/>
    <w:rsid w:val="006C050B"/>
    <w:rsid w:val="006C0AED"/>
    <w:rsid w:val="006C0D26"/>
    <w:rsid w:val="006C0F7A"/>
    <w:rsid w:val="006C1785"/>
    <w:rsid w:val="006C1F15"/>
    <w:rsid w:val="006C23C4"/>
    <w:rsid w:val="006C2500"/>
    <w:rsid w:val="006C25A5"/>
    <w:rsid w:val="006C3370"/>
    <w:rsid w:val="006C372A"/>
    <w:rsid w:val="006C37E3"/>
    <w:rsid w:val="006C3AC7"/>
    <w:rsid w:val="006C4A60"/>
    <w:rsid w:val="006C4F0E"/>
    <w:rsid w:val="006C666F"/>
    <w:rsid w:val="006C6D06"/>
    <w:rsid w:val="006C7180"/>
    <w:rsid w:val="006C797F"/>
    <w:rsid w:val="006C7CBE"/>
    <w:rsid w:val="006D039F"/>
    <w:rsid w:val="006D06FB"/>
    <w:rsid w:val="006D0CB3"/>
    <w:rsid w:val="006D0F51"/>
    <w:rsid w:val="006D0FDB"/>
    <w:rsid w:val="006D11CA"/>
    <w:rsid w:val="006D1D6D"/>
    <w:rsid w:val="006D1DEA"/>
    <w:rsid w:val="006D1E12"/>
    <w:rsid w:val="006D2434"/>
    <w:rsid w:val="006D28D6"/>
    <w:rsid w:val="006D3111"/>
    <w:rsid w:val="006D34FF"/>
    <w:rsid w:val="006D3676"/>
    <w:rsid w:val="006D416A"/>
    <w:rsid w:val="006D4222"/>
    <w:rsid w:val="006D4549"/>
    <w:rsid w:val="006D46FF"/>
    <w:rsid w:val="006D4948"/>
    <w:rsid w:val="006D4AAF"/>
    <w:rsid w:val="006D4E62"/>
    <w:rsid w:val="006D4EC3"/>
    <w:rsid w:val="006D6070"/>
    <w:rsid w:val="006D6F6C"/>
    <w:rsid w:val="006D744E"/>
    <w:rsid w:val="006E0557"/>
    <w:rsid w:val="006E0587"/>
    <w:rsid w:val="006E08A0"/>
    <w:rsid w:val="006E09E9"/>
    <w:rsid w:val="006E178F"/>
    <w:rsid w:val="006E1B1E"/>
    <w:rsid w:val="006E1C0A"/>
    <w:rsid w:val="006E33A4"/>
    <w:rsid w:val="006E3649"/>
    <w:rsid w:val="006E36CE"/>
    <w:rsid w:val="006E371A"/>
    <w:rsid w:val="006E4B87"/>
    <w:rsid w:val="006E57B7"/>
    <w:rsid w:val="006E5CFD"/>
    <w:rsid w:val="006E683E"/>
    <w:rsid w:val="006E6EE0"/>
    <w:rsid w:val="006E7D2D"/>
    <w:rsid w:val="006F01D6"/>
    <w:rsid w:val="006F023D"/>
    <w:rsid w:val="006F19B0"/>
    <w:rsid w:val="006F1EB2"/>
    <w:rsid w:val="006F1FF9"/>
    <w:rsid w:val="006F22AA"/>
    <w:rsid w:val="006F2EB3"/>
    <w:rsid w:val="006F30DF"/>
    <w:rsid w:val="006F3ECD"/>
    <w:rsid w:val="006F4882"/>
    <w:rsid w:val="006F4E43"/>
    <w:rsid w:val="006F5257"/>
    <w:rsid w:val="006F5598"/>
    <w:rsid w:val="006F5645"/>
    <w:rsid w:val="006F58C8"/>
    <w:rsid w:val="006F5BD2"/>
    <w:rsid w:val="006F65C1"/>
    <w:rsid w:val="006F6800"/>
    <w:rsid w:val="006F6882"/>
    <w:rsid w:val="006F7312"/>
    <w:rsid w:val="006F7A57"/>
    <w:rsid w:val="007002C4"/>
    <w:rsid w:val="0070167A"/>
    <w:rsid w:val="00701846"/>
    <w:rsid w:val="00701BF6"/>
    <w:rsid w:val="007020D5"/>
    <w:rsid w:val="0070217F"/>
    <w:rsid w:val="007021A2"/>
    <w:rsid w:val="007025F1"/>
    <w:rsid w:val="007027A6"/>
    <w:rsid w:val="0070374B"/>
    <w:rsid w:val="00703864"/>
    <w:rsid w:val="0070409E"/>
    <w:rsid w:val="0070475C"/>
    <w:rsid w:val="00704CC2"/>
    <w:rsid w:val="00704CE3"/>
    <w:rsid w:val="0070520D"/>
    <w:rsid w:val="0070549E"/>
    <w:rsid w:val="007056FE"/>
    <w:rsid w:val="00705BE8"/>
    <w:rsid w:val="00705E88"/>
    <w:rsid w:val="00705F80"/>
    <w:rsid w:val="007068E6"/>
    <w:rsid w:val="00706F1E"/>
    <w:rsid w:val="0071023C"/>
    <w:rsid w:val="007102E1"/>
    <w:rsid w:val="00710303"/>
    <w:rsid w:val="007103EB"/>
    <w:rsid w:val="007107D2"/>
    <w:rsid w:val="00710DD6"/>
    <w:rsid w:val="00711153"/>
    <w:rsid w:val="0071131E"/>
    <w:rsid w:val="007116BA"/>
    <w:rsid w:val="0071180A"/>
    <w:rsid w:val="00712212"/>
    <w:rsid w:val="00712451"/>
    <w:rsid w:val="007128EC"/>
    <w:rsid w:val="00712C65"/>
    <w:rsid w:val="00713103"/>
    <w:rsid w:val="00713566"/>
    <w:rsid w:val="007143F5"/>
    <w:rsid w:val="007144A6"/>
    <w:rsid w:val="00714844"/>
    <w:rsid w:val="00714B38"/>
    <w:rsid w:val="0071508C"/>
    <w:rsid w:val="00715389"/>
    <w:rsid w:val="00715698"/>
    <w:rsid w:val="00715870"/>
    <w:rsid w:val="007158BF"/>
    <w:rsid w:val="00715A42"/>
    <w:rsid w:val="0071615D"/>
    <w:rsid w:val="00716246"/>
    <w:rsid w:val="00716467"/>
    <w:rsid w:val="00716569"/>
    <w:rsid w:val="00716EF7"/>
    <w:rsid w:val="007177FE"/>
    <w:rsid w:val="00717AE1"/>
    <w:rsid w:val="00717D23"/>
    <w:rsid w:val="00720064"/>
    <w:rsid w:val="00720475"/>
    <w:rsid w:val="00720A58"/>
    <w:rsid w:val="0072127B"/>
    <w:rsid w:val="00721958"/>
    <w:rsid w:val="00721EA8"/>
    <w:rsid w:val="00722165"/>
    <w:rsid w:val="00722D94"/>
    <w:rsid w:val="00723494"/>
    <w:rsid w:val="00724160"/>
    <w:rsid w:val="00724743"/>
    <w:rsid w:val="00724ACE"/>
    <w:rsid w:val="00724BF0"/>
    <w:rsid w:val="00724F39"/>
    <w:rsid w:val="0072520E"/>
    <w:rsid w:val="0072560B"/>
    <w:rsid w:val="0072596E"/>
    <w:rsid w:val="00726EF7"/>
    <w:rsid w:val="007270FF"/>
    <w:rsid w:val="007273B1"/>
    <w:rsid w:val="0072759E"/>
    <w:rsid w:val="007276E5"/>
    <w:rsid w:val="00727825"/>
    <w:rsid w:val="00727A9C"/>
    <w:rsid w:val="007300C9"/>
    <w:rsid w:val="007303AA"/>
    <w:rsid w:val="007308D5"/>
    <w:rsid w:val="007309EB"/>
    <w:rsid w:val="00730A58"/>
    <w:rsid w:val="007310BB"/>
    <w:rsid w:val="007318D2"/>
    <w:rsid w:val="00732BFF"/>
    <w:rsid w:val="00732C45"/>
    <w:rsid w:val="00733047"/>
    <w:rsid w:val="00733895"/>
    <w:rsid w:val="00733D7F"/>
    <w:rsid w:val="00733DC4"/>
    <w:rsid w:val="00733E7B"/>
    <w:rsid w:val="00733E95"/>
    <w:rsid w:val="00734790"/>
    <w:rsid w:val="007349E4"/>
    <w:rsid w:val="00734D06"/>
    <w:rsid w:val="007352BF"/>
    <w:rsid w:val="007355A7"/>
    <w:rsid w:val="007355B6"/>
    <w:rsid w:val="0073577E"/>
    <w:rsid w:val="00735BE9"/>
    <w:rsid w:val="00735EC7"/>
    <w:rsid w:val="00735EDA"/>
    <w:rsid w:val="0073625B"/>
    <w:rsid w:val="00736D10"/>
    <w:rsid w:val="007372CD"/>
    <w:rsid w:val="00737D2D"/>
    <w:rsid w:val="00737F8D"/>
    <w:rsid w:val="00740902"/>
    <w:rsid w:val="00740E04"/>
    <w:rsid w:val="00741B7B"/>
    <w:rsid w:val="00743814"/>
    <w:rsid w:val="00743AEC"/>
    <w:rsid w:val="00743F0C"/>
    <w:rsid w:val="0074415A"/>
    <w:rsid w:val="007441A5"/>
    <w:rsid w:val="007441D0"/>
    <w:rsid w:val="00744BA4"/>
    <w:rsid w:val="00744CA6"/>
    <w:rsid w:val="00745811"/>
    <w:rsid w:val="0074592B"/>
    <w:rsid w:val="00745ADC"/>
    <w:rsid w:val="00745F23"/>
    <w:rsid w:val="0074603D"/>
    <w:rsid w:val="0074681A"/>
    <w:rsid w:val="00746AD4"/>
    <w:rsid w:val="00746D98"/>
    <w:rsid w:val="007476D4"/>
    <w:rsid w:val="00750080"/>
    <w:rsid w:val="00750C3C"/>
    <w:rsid w:val="00750E8F"/>
    <w:rsid w:val="00751271"/>
    <w:rsid w:val="007514AC"/>
    <w:rsid w:val="0075158D"/>
    <w:rsid w:val="00751657"/>
    <w:rsid w:val="0075173F"/>
    <w:rsid w:val="00751A07"/>
    <w:rsid w:val="00751AB9"/>
    <w:rsid w:val="00752641"/>
    <w:rsid w:val="007526D8"/>
    <w:rsid w:val="007527AC"/>
    <w:rsid w:val="007528F9"/>
    <w:rsid w:val="00752A8A"/>
    <w:rsid w:val="00752BC7"/>
    <w:rsid w:val="00752D54"/>
    <w:rsid w:val="00752E1B"/>
    <w:rsid w:val="0075310C"/>
    <w:rsid w:val="00753FC8"/>
    <w:rsid w:val="007540B7"/>
    <w:rsid w:val="0075472F"/>
    <w:rsid w:val="00754A00"/>
    <w:rsid w:val="00754A85"/>
    <w:rsid w:val="00754F23"/>
    <w:rsid w:val="007551D0"/>
    <w:rsid w:val="0075591E"/>
    <w:rsid w:val="007562AF"/>
    <w:rsid w:val="00756457"/>
    <w:rsid w:val="0075695A"/>
    <w:rsid w:val="00756C9A"/>
    <w:rsid w:val="007577CF"/>
    <w:rsid w:val="00757970"/>
    <w:rsid w:val="00757AB5"/>
    <w:rsid w:val="007604EE"/>
    <w:rsid w:val="00760684"/>
    <w:rsid w:val="00760EFF"/>
    <w:rsid w:val="0076127F"/>
    <w:rsid w:val="007613F3"/>
    <w:rsid w:val="007614DA"/>
    <w:rsid w:val="007616CA"/>
    <w:rsid w:val="00761E1C"/>
    <w:rsid w:val="00761FBB"/>
    <w:rsid w:val="00762048"/>
    <w:rsid w:val="007620E6"/>
    <w:rsid w:val="0076239A"/>
    <w:rsid w:val="007624AC"/>
    <w:rsid w:val="007629CB"/>
    <w:rsid w:val="007633E5"/>
    <w:rsid w:val="0076345B"/>
    <w:rsid w:val="00763CED"/>
    <w:rsid w:val="00763DBC"/>
    <w:rsid w:val="00763EF8"/>
    <w:rsid w:val="00763FD9"/>
    <w:rsid w:val="00764518"/>
    <w:rsid w:val="007645BD"/>
    <w:rsid w:val="00764771"/>
    <w:rsid w:val="00764BBA"/>
    <w:rsid w:val="007659CB"/>
    <w:rsid w:val="00765BB1"/>
    <w:rsid w:val="00765C08"/>
    <w:rsid w:val="00765C57"/>
    <w:rsid w:val="007662BA"/>
    <w:rsid w:val="00766ACE"/>
    <w:rsid w:val="00766C6B"/>
    <w:rsid w:val="00767144"/>
    <w:rsid w:val="00767DD6"/>
    <w:rsid w:val="00767F8E"/>
    <w:rsid w:val="007702EB"/>
    <w:rsid w:val="0077078C"/>
    <w:rsid w:val="007707B7"/>
    <w:rsid w:val="007707D0"/>
    <w:rsid w:val="0077084C"/>
    <w:rsid w:val="00770D64"/>
    <w:rsid w:val="007723E2"/>
    <w:rsid w:val="00772413"/>
    <w:rsid w:val="00772862"/>
    <w:rsid w:val="00772AE6"/>
    <w:rsid w:val="00772D61"/>
    <w:rsid w:val="00773ED0"/>
    <w:rsid w:val="007742D3"/>
    <w:rsid w:val="00774C33"/>
    <w:rsid w:val="00774FE5"/>
    <w:rsid w:val="007757E9"/>
    <w:rsid w:val="007762C8"/>
    <w:rsid w:val="00777195"/>
    <w:rsid w:val="007775FB"/>
    <w:rsid w:val="00780029"/>
    <w:rsid w:val="00780ADA"/>
    <w:rsid w:val="00780E81"/>
    <w:rsid w:val="00781029"/>
    <w:rsid w:val="00781A31"/>
    <w:rsid w:val="00781D89"/>
    <w:rsid w:val="007822E0"/>
    <w:rsid w:val="007823FB"/>
    <w:rsid w:val="0078244A"/>
    <w:rsid w:val="00782686"/>
    <w:rsid w:val="00783364"/>
    <w:rsid w:val="007833BA"/>
    <w:rsid w:val="00783659"/>
    <w:rsid w:val="00783689"/>
    <w:rsid w:val="007838CD"/>
    <w:rsid w:val="00783ACF"/>
    <w:rsid w:val="00783CE2"/>
    <w:rsid w:val="00783DC3"/>
    <w:rsid w:val="00784243"/>
    <w:rsid w:val="00784263"/>
    <w:rsid w:val="00784507"/>
    <w:rsid w:val="007848A5"/>
    <w:rsid w:val="00784B62"/>
    <w:rsid w:val="00784EFC"/>
    <w:rsid w:val="00785103"/>
    <w:rsid w:val="0078517F"/>
    <w:rsid w:val="00785217"/>
    <w:rsid w:val="00785843"/>
    <w:rsid w:val="0078628C"/>
    <w:rsid w:val="00787503"/>
    <w:rsid w:val="0078776F"/>
    <w:rsid w:val="0078792B"/>
    <w:rsid w:val="00787B75"/>
    <w:rsid w:val="00787EC3"/>
    <w:rsid w:val="0079014E"/>
    <w:rsid w:val="00790793"/>
    <w:rsid w:val="00790A84"/>
    <w:rsid w:val="00790E4F"/>
    <w:rsid w:val="00791757"/>
    <w:rsid w:val="00792EA0"/>
    <w:rsid w:val="00793072"/>
    <w:rsid w:val="00794D66"/>
    <w:rsid w:val="00794DFC"/>
    <w:rsid w:val="007954F2"/>
    <w:rsid w:val="00795A6F"/>
    <w:rsid w:val="0079665C"/>
    <w:rsid w:val="007973ED"/>
    <w:rsid w:val="00797EB1"/>
    <w:rsid w:val="007A004F"/>
    <w:rsid w:val="007A0394"/>
    <w:rsid w:val="007A0991"/>
    <w:rsid w:val="007A0C99"/>
    <w:rsid w:val="007A0EAB"/>
    <w:rsid w:val="007A157C"/>
    <w:rsid w:val="007A17AE"/>
    <w:rsid w:val="007A17C3"/>
    <w:rsid w:val="007A1A6C"/>
    <w:rsid w:val="007A1B62"/>
    <w:rsid w:val="007A23F7"/>
    <w:rsid w:val="007A2904"/>
    <w:rsid w:val="007A2983"/>
    <w:rsid w:val="007A2E98"/>
    <w:rsid w:val="007A371D"/>
    <w:rsid w:val="007A3C16"/>
    <w:rsid w:val="007A3C29"/>
    <w:rsid w:val="007A3C6A"/>
    <w:rsid w:val="007A4060"/>
    <w:rsid w:val="007A4169"/>
    <w:rsid w:val="007A41FD"/>
    <w:rsid w:val="007A4428"/>
    <w:rsid w:val="007A459C"/>
    <w:rsid w:val="007A4AD6"/>
    <w:rsid w:val="007A4F49"/>
    <w:rsid w:val="007A5C8C"/>
    <w:rsid w:val="007A5E90"/>
    <w:rsid w:val="007A60E2"/>
    <w:rsid w:val="007A673F"/>
    <w:rsid w:val="007A6AB1"/>
    <w:rsid w:val="007A6D66"/>
    <w:rsid w:val="007A7242"/>
    <w:rsid w:val="007A78BA"/>
    <w:rsid w:val="007A7A5D"/>
    <w:rsid w:val="007B0193"/>
    <w:rsid w:val="007B0A04"/>
    <w:rsid w:val="007B0C0E"/>
    <w:rsid w:val="007B0CE0"/>
    <w:rsid w:val="007B0E7A"/>
    <w:rsid w:val="007B13EB"/>
    <w:rsid w:val="007B1528"/>
    <w:rsid w:val="007B1848"/>
    <w:rsid w:val="007B1F62"/>
    <w:rsid w:val="007B2903"/>
    <w:rsid w:val="007B3024"/>
    <w:rsid w:val="007B30A5"/>
    <w:rsid w:val="007B3571"/>
    <w:rsid w:val="007B3AE7"/>
    <w:rsid w:val="007B3E47"/>
    <w:rsid w:val="007B3FA1"/>
    <w:rsid w:val="007B4752"/>
    <w:rsid w:val="007B4E80"/>
    <w:rsid w:val="007B50F8"/>
    <w:rsid w:val="007B599C"/>
    <w:rsid w:val="007B6418"/>
    <w:rsid w:val="007B64D9"/>
    <w:rsid w:val="007B6CA0"/>
    <w:rsid w:val="007B6ED6"/>
    <w:rsid w:val="007B6F2E"/>
    <w:rsid w:val="007B7099"/>
    <w:rsid w:val="007B71C6"/>
    <w:rsid w:val="007B7673"/>
    <w:rsid w:val="007B7690"/>
    <w:rsid w:val="007B76B0"/>
    <w:rsid w:val="007B7765"/>
    <w:rsid w:val="007B78B5"/>
    <w:rsid w:val="007C0490"/>
    <w:rsid w:val="007C0CD2"/>
    <w:rsid w:val="007C0EDF"/>
    <w:rsid w:val="007C1C59"/>
    <w:rsid w:val="007C2635"/>
    <w:rsid w:val="007C2D8A"/>
    <w:rsid w:val="007C3019"/>
    <w:rsid w:val="007C32C8"/>
    <w:rsid w:val="007C32ED"/>
    <w:rsid w:val="007C33EB"/>
    <w:rsid w:val="007C35CF"/>
    <w:rsid w:val="007C388D"/>
    <w:rsid w:val="007C3C38"/>
    <w:rsid w:val="007C3EE5"/>
    <w:rsid w:val="007C40FA"/>
    <w:rsid w:val="007C423F"/>
    <w:rsid w:val="007C4444"/>
    <w:rsid w:val="007C446D"/>
    <w:rsid w:val="007C4F9F"/>
    <w:rsid w:val="007C5621"/>
    <w:rsid w:val="007C57DE"/>
    <w:rsid w:val="007C5B56"/>
    <w:rsid w:val="007C645F"/>
    <w:rsid w:val="007C6768"/>
    <w:rsid w:val="007C67A0"/>
    <w:rsid w:val="007C6BDA"/>
    <w:rsid w:val="007C702F"/>
    <w:rsid w:val="007D02A0"/>
    <w:rsid w:val="007D042F"/>
    <w:rsid w:val="007D0853"/>
    <w:rsid w:val="007D092A"/>
    <w:rsid w:val="007D0D78"/>
    <w:rsid w:val="007D0EDA"/>
    <w:rsid w:val="007D1D8F"/>
    <w:rsid w:val="007D2381"/>
    <w:rsid w:val="007D2DD0"/>
    <w:rsid w:val="007D2DD3"/>
    <w:rsid w:val="007D3260"/>
    <w:rsid w:val="007D35EA"/>
    <w:rsid w:val="007D4A87"/>
    <w:rsid w:val="007D4ADF"/>
    <w:rsid w:val="007D58DA"/>
    <w:rsid w:val="007D590A"/>
    <w:rsid w:val="007D6428"/>
    <w:rsid w:val="007D7134"/>
    <w:rsid w:val="007D7801"/>
    <w:rsid w:val="007D7882"/>
    <w:rsid w:val="007D7998"/>
    <w:rsid w:val="007E05D4"/>
    <w:rsid w:val="007E07D9"/>
    <w:rsid w:val="007E1047"/>
    <w:rsid w:val="007E124D"/>
    <w:rsid w:val="007E1796"/>
    <w:rsid w:val="007E18B3"/>
    <w:rsid w:val="007E19CF"/>
    <w:rsid w:val="007E1D84"/>
    <w:rsid w:val="007E203F"/>
    <w:rsid w:val="007E2253"/>
    <w:rsid w:val="007E22BC"/>
    <w:rsid w:val="007E25B4"/>
    <w:rsid w:val="007E2723"/>
    <w:rsid w:val="007E2A4F"/>
    <w:rsid w:val="007E358B"/>
    <w:rsid w:val="007E3A4D"/>
    <w:rsid w:val="007E4233"/>
    <w:rsid w:val="007E4285"/>
    <w:rsid w:val="007E42C9"/>
    <w:rsid w:val="007E49A4"/>
    <w:rsid w:val="007E5537"/>
    <w:rsid w:val="007E578C"/>
    <w:rsid w:val="007E5797"/>
    <w:rsid w:val="007E62D8"/>
    <w:rsid w:val="007E6309"/>
    <w:rsid w:val="007E6449"/>
    <w:rsid w:val="007E6632"/>
    <w:rsid w:val="007E7CD4"/>
    <w:rsid w:val="007E7EAF"/>
    <w:rsid w:val="007F0196"/>
    <w:rsid w:val="007F06CD"/>
    <w:rsid w:val="007F0881"/>
    <w:rsid w:val="007F08BC"/>
    <w:rsid w:val="007F091D"/>
    <w:rsid w:val="007F18D3"/>
    <w:rsid w:val="007F18F0"/>
    <w:rsid w:val="007F19D2"/>
    <w:rsid w:val="007F248B"/>
    <w:rsid w:val="007F26C9"/>
    <w:rsid w:val="007F33CA"/>
    <w:rsid w:val="007F417A"/>
    <w:rsid w:val="007F4446"/>
    <w:rsid w:val="007F4519"/>
    <w:rsid w:val="007F4B4B"/>
    <w:rsid w:val="007F4DCF"/>
    <w:rsid w:val="007F4F0B"/>
    <w:rsid w:val="007F58E2"/>
    <w:rsid w:val="007F59B2"/>
    <w:rsid w:val="007F60A7"/>
    <w:rsid w:val="007F6327"/>
    <w:rsid w:val="007F652A"/>
    <w:rsid w:val="007F6C07"/>
    <w:rsid w:val="007F6D38"/>
    <w:rsid w:val="007F7161"/>
    <w:rsid w:val="007F7742"/>
    <w:rsid w:val="0080008B"/>
    <w:rsid w:val="0080157E"/>
    <w:rsid w:val="00801596"/>
    <w:rsid w:val="00801E2D"/>
    <w:rsid w:val="00802172"/>
    <w:rsid w:val="008037DF"/>
    <w:rsid w:val="008038CC"/>
    <w:rsid w:val="0080390F"/>
    <w:rsid w:val="00804BDA"/>
    <w:rsid w:val="00804ED3"/>
    <w:rsid w:val="0080590E"/>
    <w:rsid w:val="00805A3A"/>
    <w:rsid w:val="00806088"/>
    <w:rsid w:val="008063EF"/>
    <w:rsid w:val="0080697F"/>
    <w:rsid w:val="00806B57"/>
    <w:rsid w:val="00806D22"/>
    <w:rsid w:val="00806E16"/>
    <w:rsid w:val="0080700B"/>
    <w:rsid w:val="00807147"/>
    <w:rsid w:val="008075FB"/>
    <w:rsid w:val="008077CA"/>
    <w:rsid w:val="00807935"/>
    <w:rsid w:val="00807C15"/>
    <w:rsid w:val="0081001E"/>
    <w:rsid w:val="008108FC"/>
    <w:rsid w:val="00810AE1"/>
    <w:rsid w:val="00810CCC"/>
    <w:rsid w:val="00810E03"/>
    <w:rsid w:val="008112F4"/>
    <w:rsid w:val="0081130C"/>
    <w:rsid w:val="00811338"/>
    <w:rsid w:val="0081177C"/>
    <w:rsid w:val="00811CC3"/>
    <w:rsid w:val="00812723"/>
    <w:rsid w:val="0081289E"/>
    <w:rsid w:val="00812944"/>
    <w:rsid w:val="00812FB8"/>
    <w:rsid w:val="00813275"/>
    <w:rsid w:val="00813872"/>
    <w:rsid w:val="0081414D"/>
    <w:rsid w:val="008152C8"/>
    <w:rsid w:val="008153F9"/>
    <w:rsid w:val="008156C0"/>
    <w:rsid w:val="008161D8"/>
    <w:rsid w:val="0081661D"/>
    <w:rsid w:val="0081669C"/>
    <w:rsid w:val="0081684C"/>
    <w:rsid w:val="00817197"/>
    <w:rsid w:val="0081776F"/>
    <w:rsid w:val="00817A24"/>
    <w:rsid w:val="00817BE7"/>
    <w:rsid w:val="00817CFE"/>
    <w:rsid w:val="0082019A"/>
    <w:rsid w:val="008202D5"/>
    <w:rsid w:val="00820352"/>
    <w:rsid w:val="00820361"/>
    <w:rsid w:val="008206DB"/>
    <w:rsid w:val="008206E9"/>
    <w:rsid w:val="00820A15"/>
    <w:rsid w:val="00820F0F"/>
    <w:rsid w:val="00821850"/>
    <w:rsid w:val="00822157"/>
    <w:rsid w:val="00822397"/>
    <w:rsid w:val="00822B14"/>
    <w:rsid w:val="008231AC"/>
    <w:rsid w:val="00823328"/>
    <w:rsid w:val="00823B98"/>
    <w:rsid w:val="00823C1C"/>
    <w:rsid w:val="00823E2E"/>
    <w:rsid w:val="00823EDB"/>
    <w:rsid w:val="008245E5"/>
    <w:rsid w:val="0082498E"/>
    <w:rsid w:val="00824B0E"/>
    <w:rsid w:val="0082532D"/>
    <w:rsid w:val="00825771"/>
    <w:rsid w:val="00825FC8"/>
    <w:rsid w:val="0082601F"/>
    <w:rsid w:val="00826510"/>
    <w:rsid w:val="00826892"/>
    <w:rsid w:val="0082743A"/>
    <w:rsid w:val="00830D65"/>
    <w:rsid w:val="00830F1D"/>
    <w:rsid w:val="008310F8"/>
    <w:rsid w:val="0083141D"/>
    <w:rsid w:val="00831DE9"/>
    <w:rsid w:val="00831FA2"/>
    <w:rsid w:val="0083254D"/>
    <w:rsid w:val="008327FB"/>
    <w:rsid w:val="008339CE"/>
    <w:rsid w:val="008343D1"/>
    <w:rsid w:val="008344EC"/>
    <w:rsid w:val="00834B79"/>
    <w:rsid w:val="00834B8E"/>
    <w:rsid w:val="00834E27"/>
    <w:rsid w:val="00835247"/>
    <w:rsid w:val="008357FF"/>
    <w:rsid w:val="00836A35"/>
    <w:rsid w:val="0083706B"/>
    <w:rsid w:val="00837224"/>
    <w:rsid w:val="0083768B"/>
    <w:rsid w:val="00837A3C"/>
    <w:rsid w:val="00837F21"/>
    <w:rsid w:val="00840485"/>
    <w:rsid w:val="00840C12"/>
    <w:rsid w:val="00840D42"/>
    <w:rsid w:val="00840DAB"/>
    <w:rsid w:val="00841B73"/>
    <w:rsid w:val="00841B8C"/>
    <w:rsid w:val="0084226B"/>
    <w:rsid w:val="00842A25"/>
    <w:rsid w:val="00842B23"/>
    <w:rsid w:val="00842E40"/>
    <w:rsid w:val="008435BF"/>
    <w:rsid w:val="00843890"/>
    <w:rsid w:val="008441E4"/>
    <w:rsid w:val="008445A9"/>
    <w:rsid w:val="00844A9B"/>
    <w:rsid w:val="00844CB6"/>
    <w:rsid w:val="0084543D"/>
    <w:rsid w:val="008456EC"/>
    <w:rsid w:val="008459B2"/>
    <w:rsid w:val="00846204"/>
    <w:rsid w:val="00846224"/>
    <w:rsid w:val="0084638A"/>
    <w:rsid w:val="008468A8"/>
    <w:rsid w:val="00846E52"/>
    <w:rsid w:val="00846EA0"/>
    <w:rsid w:val="008470C4"/>
    <w:rsid w:val="008472B6"/>
    <w:rsid w:val="008478A0"/>
    <w:rsid w:val="00847AA5"/>
    <w:rsid w:val="00847DCC"/>
    <w:rsid w:val="00850272"/>
    <w:rsid w:val="008507AE"/>
    <w:rsid w:val="008509BE"/>
    <w:rsid w:val="00850A28"/>
    <w:rsid w:val="00850F5E"/>
    <w:rsid w:val="00851A56"/>
    <w:rsid w:val="00851ED6"/>
    <w:rsid w:val="008520E0"/>
    <w:rsid w:val="00852513"/>
    <w:rsid w:val="008527C7"/>
    <w:rsid w:val="00852F5D"/>
    <w:rsid w:val="00852FEF"/>
    <w:rsid w:val="00854274"/>
    <w:rsid w:val="00854A7D"/>
    <w:rsid w:val="00854C3D"/>
    <w:rsid w:val="0085515F"/>
    <w:rsid w:val="008557CC"/>
    <w:rsid w:val="00855978"/>
    <w:rsid w:val="00855A48"/>
    <w:rsid w:val="00855E90"/>
    <w:rsid w:val="0085612A"/>
    <w:rsid w:val="008562FE"/>
    <w:rsid w:val="00856BCB"/>
    <w:rsid w:val="00856CAE"/>
    <w:rsid w:val="00856E85"/>
    <w:rsid w:val="0085708C"/>
    <w:rsid w:val="00857AD0"/>
    <w:rsid w:val="00857F5A"/>
    <w:rsid w:val="00860A52"/>
    <w:rsid w:val="00860B6F"/>
    <w:rsid w:val="00861287"/>
    <w:rsid w:val="008619DB"/>
    <w:rsid w:val="00861C69"/>
    <w:rsid w:val="00861CB9"/>
    <w:rsid w:val="00861FD1"/>
    <w:rsid w:val="00862657"/>
    <w:rsid w:val="0086388A"/>
    <w:rsid w:val="008638A6"/>
    <w:rsid w:val="00863960"/>
    <w:rsid w:val="00863A5B"/>
    <w:rsid w:val="00864229"/>
    <w:rsid w:val="00864230"/>
    <w:rsid w:val="008649CC"/>
    <w:rsid w:val="008652D0"/>
    <w:rsid w:val="00865B3B"/>
    <w:rsid w:val="00866DDA"/>
    <w:rsid w:val="0086756F"/>
    <w:rsid w:val="00867ED2"/>
    <w:rsid w:val="008704A0"/>
    <w:rsid w:val="00870570"/>
    <w:rsid w:val="0087090A"/>
    <w:rsid w:val="00870AC3"/>
    <w:rsid w:val="00870B5E"/>
    <w:rsid w:val="00870DFC"/>
    <w:rsid w:val="00871106"/>
    <w:rsid w:val="008715E2"/>
    <w:rsid w:val="00871B1B"/>
    <w:rsid w:val="00871CC3"/>
    <w:rsid w:val="00871DA2"/>
    <w:rsid w:val="00872E1E"/>
    <w:rsid w:val="008730BB"/>
    <w:rsid w:val="008739D2"/>
    <w:rsid w:val="00873A8C"/>
    <w:rsid w:val="00873B61"/>
    <w:rsid w:val="00873BEF"/>
    <w:rsid w:val="00874F62"/>
    <w:rsid w:val="008750C0"/>
    <w:rsid w:val="008750FF"/>
    <w:rsid w:val="00875A61"/>
    <w:rsid w:val="00876722"/>
    <w:rsid w:val="00876808"/>
    <w:rsid w:val="00876B5E"/>
    <w:rsid w:val="00877018"/>
    <w:rsid w:val="0087705D"/>
    <w:rsid w:val="008778AC"/>
    <w:rsid w:val="008778F0"/>
    <w:rsid w:val="008779DC"/>
    <w:rsid w:val="00880619"/>
    <w:rsid w:val="00880763"/>
    <w:rsid w:val="00880E28"/>
    <w:rsid w:val="008819F5"/>
    <w:rsid w:val="00881A14"/>
    <w:rsid w:val="008824CB"/>
    <w:rsid w:val="008825E1"/>
    <w:rsid w:val="00882720"/>
    <w:rsid w:val="00882DEF"/>
    <w:rsid w:val="008831C2"/>
    <w:rsid w:val="00884BD3"/>
    <w:rsid w:val="00885051"/>
    <w:rsid w:val="008851B9"/>
    <w:rsid w:val="00885960"/>
    <w:rsid w:val="00885962"/>
    <w:rsid w:val="00885EE7"/>
    <w:rsid w:val="00885FD7"/>
    <w:rsid w:val="00886373"/>
    <w:rsid w:val="00886791"/>
    <w:rsid w:val="008872B3"/>
    <w:rsid w:val="008878ED"/>
    <w:rsid w:val="00887C17"/>
    <w:rsid w:val="008905FB"/>
    <w:rsid w:val="0089076E"/>
    <w:rsid w:val="00890E58"/>
    <w:rsid w:val="00890E6D"/>
    <w:rsid w:val="0089152D"/>
    <w:rsid w:val="008915F6"/>
    <w:rsid w:val="00891F73"/>
    <w:rsid w:val="00892974"/>
    <w:rsid w:val="008955D1"/>
    <w:rsid w:val="00895CB3"/>
    <w:rsid w:val="00895F34"/>
    <w:rsid w:val="00896249"/>
    <w:rsid w:val="008966A4"/>
    <w:rsid w:val="0089695B"/>
    <w:rsid w:val="00896E2D"/>
    <w:rsid w:val="008971DD"/>
    <w:rsid w:val="00897956"/>
    <w:rsid w:val="00897A98"/>
    <w:rsid w:val="00897C96"/>
    <w:rsid w:val="008A0A9B"/>
    <w:rsid w:val="008A0B89"/>
    <w:rsid w:val="008A0BAF"/>
    <w:rsid w:val="008A0D14"/>
    <w:rsid w:val="008A1FCB"/>
    <w:rsid w:val="008A26A4"/>
    <w:rsid w:val="008A3498"/>
    <w:rsid w:val="008A37FA"/>
    <w:rsid w:val="008A3A3D"/>
    <w:rsid w:val="008A4108"/>
    <w:rsid w:val="008A4718"/>
    <w:rsid w:val="008A4981"/>
    <w:rsid w:val="008A5318"/>
    <w:rsid w:val="008A54F7"/>
    <w:rsid w:val="008A5655"/>
    <w:rsid w:val="008A602A"/>
    <w:rsid w:val="008A6203"/>
    <w:rsid w:val="008A6C4E"/>
    <w:rsid w:val="008A72E7"/>
    <w:rsid w:val="008A78F4"/>
    <w:rsid w:val="008B054D"/>
    <w:rsid w:val="008B0645"/>
    <w:rsid w:val="008B0CD8"/>
    <w:rsid w:val="008B10F9"/>
    <w:rsid w:val="008B1337"/>
    <w:rsid w:val="008B15E4"/>
    <w:rsid w:val="008B18DB"/>
    <w:rsid w:val="008B1FC3"/>
    <w:rsid w:val="008B2F33"/>
    <w:rsid w:val="008B3567"/>
    <w:rsid w:val="008B667C"/>
    <w:rsid w:val="008B68D7"/>
    <w:rsid w:val="008B6CE7"/>
    <w:rsid w:val="008B7313"/>
    <w:rsid w:val="008B7318"/>
    <w:rsid w:val="008B73AB"/>
    <w:rsid w:val="008B73AD"/>
    <w:rsid w:val="008B75CE"/>
    <w:rsid w:val="008B7C94"/>
    <w:rsid w:val="008B7EE3"/>
    <w:rsid w:val="008C0373"/>
    <w:rsid w:val="008C069D"/>
    <w:rsid w:val="008C07DB"/>
    <w:rsid w:val="008C168C"/>
    <w:rsid w:val="008C16C4"/>
    <w:rsid w:val="008C1981"/>
    <w:rsid w:val="008C1B9E"/>
    <w:rsid w:val="008C1E3C"/>
    <w:rsid w:val="008C23B1"/>
    <w:rsid w:val="008C2777"/>
    <w:rsid w:val="008C39B5"/>
    <w:rsid w:val="008C3AA9"/>
    <w:rsid w:val="008C49E4"/>
    <w:rsid w:val="008C500E"/>
    <w:rsid w:val="008C5030"/>
    <w:rsid w:val="008C5106"/>
    <w:rsid w:val="008C540D"/>
    <w:rsid w:val="008C542E"/>
    <w:rsid w:val="008C5430"/>
    <w:rsid w:val="008C55B4"/>
    <w:rsid w:val="008C5F7E"/>
    <w:rsid w:val="008C61E3"/>
    <w:rsid w:val="008C6216"/>
    <w:rsid w:val="008C690A"/>
    <w:rsid w:val="008C7093"/>
    <w:rsid w:val="008C70EE"/>
    <w:rsid w:val="008C70F0"/>
    <w:rsid w:val="008C79DF"/>
    <w:rsid w:val="008C7C72"/>
    <w:rsid w:val="008C7CAB"/>
    <w:rsid w:val="008D00D7"/>
    <w:rsid w:val="008D011F"/>
    <w:rsid w:val="008D058B"/>
    <w:rsid w:val="008D0810"/>
    <w:rsid w:val="008D0D7A"/>
    <w:rsid w:val="008D10CB"/>
    <w:rsid w:val="008D127B"/>
    <w:rsid w:val="008D178E"/>
    <w:rsid w:val="008D2108"/>
    <w:rsid w:val="008D2846"/>
    <w:rsid w:val="008D289D"/>
    <w:rsid w:val="008D2A86"/>
    <w:rsid w:val="008D2D6E"/>
    <w:rsid w:val="008D3155"/>
    <w:rsid w:val="008D32B2"/>
    <w:rsid w:val="008D38EE"/>
    <w:rsid w:val="008D427C"/>
    <w:rsid w:val="008D42E6"/>
    <w:rsid w:val="008D4367"/>
    <w:rsid w:val="008D4451"/>
    <w:rsid w:val="008D45CF"/>
    <w:rsid w:val="008D4E45"/>
    <w:rsid w:val="008D4FDC"/>
    <w:rsid w:val="008D5C50"/>
    <w:rsid w:val="008D6054"/>
    <w:rsid w:val="008D61F8"/>
    <w:rsid w:val="008D6B9D"/>
    <w:rsid w:val="008D7E9A"/>
    <w:rsid w:val="008D7F66"/>
    <w:rsid w:val="008E0D7C"/>
    <w:rsid w:val="008E0DE5"/>
    <w:rsid w:val="008E1383"/>
    <w:rsid w:val="008E13CE"/>
    <w:rsid w:val="008E17D9"/>
    <w:rsid w:val="008E1D85"/>
    <w:rsid w:val="008E1E78"/>
    <w:rsid w:val="008E1FE4"/>
    <w:rsid w:val="008E213C"/>
    <w:rsid w:val="008E21F9"/>
    <w:rsid w:val="008E236E"/>
    <w:rsid w:val="008E29F1"/>
    <w:rsid w:val="008E2EFB"/>
    <w:rsid w:val="008E390F"/>
    <w:rsid w:val="008E3938"/>
    <w:rsid w:val="008E3BE4"/>
    <w:rsid w:val="008E4341"/>
    <w:rsid w:val="008E4373"/>
    <w:rsid w:val="008E4510"/>
    <w:rsid w:val="008E4C5A"/>
    <w:rsid w:val="008E4D7F"/>
    <w:rsid w:val="008E521C"/>
    <w:rsid w:val="008E5E75"/>
    <w:rsid w:val="008E61FC"/>
    <w:rsid w:val="008E6517"/>
    <w:rsid w:val="008E661A"/>
    <w:rsid w:val="008E6A36"/>
    <w:rsid w:val="008E6CA1"/>
    <w:rsid w:val="008E6FBF"/>
    <w:rsid w:val="008E78AC"/>
    <w:rsid w:val="008F092B"/>
    <w:rsid w:val="008F0DB8"/>
    <w:rsid w:val="008F13F4"/>
    <w:rsid w:val="008F1928"/>
    <w:rsid w:val="008F1B41"/>
    <w:rsid w:val="008F1DCB"/>
    <w:rsid w:val="008F2075"/>
    <w:rsid w:val="008F2196"/>
    <w:rsid w:val="008F2804"/>
    <w:rsid w:val="008F3142"/>
    <w:rsid w:val="008F410A"/>
    <w:rsid w:val="008F4CBE"/>
    <w:rsid w:val="008F4D41"/>
    <w:rsid w:val="008F548B"/>
    <w:rsid w:val="008F574A"/>
    <w:rsid w:val="008F5A45"/>
    <w:rsid w:val="008F66BE"/>
    <w:rsid w:val="008F68A4"/>
    <w:rsid w:val="008F6A7A"/>
    <w:rsid w:val="008F6C74"/>
    <w:rsid w:val="008F6DB6"/>
    <w:rsid w:val="008F74DC"/>
    <w:rsid w:val="008F75F0"/>
    <w:rsid w:val="008F7EA0"/>
    <w:rsid w:val="00900D8A"/>
    <w:rsid w:val="00901222"/>
    <w:rsid w:val="00901668"/>
    <w:rsid w:val="00901C17"/>
    <w:rsid w:val="009021AD"/>
    <w:rsid w:val="0090244A"/>
    <w:rsid w:val="00902ECB"/>
    <w:rsid w:val="00903269"/>
    <w:rsid w:val="00904334"/>
    <w:rsid w:val="009045C7"/>
    <w:rsid w:val="0090471D"/>
    <w:rsid w:val="00905023"/>
    <w:rsid w:val="00905137"/>
    <w:rsid w:val="00906044"/>
    <w:rsid w:val="0090673E"/>
    <w:rsid w:val="00906E8B"/>
    <w:rsid w:val="00907C8A"/>
    <w:rsid w:val="00907CCB"/>
    <w:rsid w:val="009101C2"/>
    <w:rsid w:val="009106E9"/>
    <w:rsid w:val="00910997"/>
    <w:rsid w:val="00910DEF"/>
    <w:rsid w:val="009113F7"/>
    <w:rsid w:val="00912951"/>
    <w:rsid w:val="0091329D"/>
    <w:rsid w:val="0091350C"/>
    <w:rsid w:val="0091351E"/>
    <w:rsid w:val="00913A12"/>
    <w:rsid w:val="00913AF5"/>
    <w:rsid w:val="00913D49"/>
    <w:rsid w:val="00914095"/>
    <w:rsid w:val="00914615"/>
    <w:rsid w:val="00914902"/>
    <w:rsid w:val="0091553B"/>
    <w:rsid w:val="00915BBF"/>
    <w:rsid w:val="009161B7"/>
    <w:rsid w:val="00916616"/>
    <w:rsid w:val="00916FB5"/>
    <w:rsid w:val="00917217"/>
    <w:rsid w:val="00917B5F"/>
    <w:rsid w:val="00917C9F"/>
    <w:rsid w:val="00917E55"/>
    <w:rsid w:val="0092011B"/>
    <w:rsid w:val="00920B03"/>
    <w:rsid w:val="00920D0C"/>
    <w:rsid w:val="009213FC"/>
    <w:rsid w:val="00921734"/>
    <w:rsid w:val="00921888"/>
    <w:rsid w:val="0092196D"/>
    <w:rsid w:val="00922B3B"/>
    <w:rsid w:val="00922BF3"/>
    <w:rsid w:val="00922CCF"/>
    <w:rsid w:val="00922DFC"/>
    <w:rsid w:val="009237A1"/>
    <w:rsid w:val="00923F70"/>
    <w:rsid w:val="00924135"/>
    <w:rsid w:val="009241FE"/>
    <w:rsid w:val="009245CC"/>
    <w:rsid w:val="00924600"/>
    <w:rsid w:val="0092573E"/>
    <w:rsid w:val="009257A6"/>
    <w:rsid w:val="00925A07"/>
    <w:rsid w:val="00925B23"/>
    <w:rsid w:val="00925C86"/>
    <w:rsid w:val="00925FA4"/>
    <w:rsid w:val="009260CB"/>
    <w:rsid w:val="00927212"/>
    <w:rsid w:val="0092754F"/>
    <w:rsid w:val="00927763"/>
    <w:rsid w:val="00927B2D"/>
    <w:rsid w:val="00927E77"/>
    <w:rsid w:val="009303F6"/>
    <w:rsid w:val="00930DDD"/>
    <w:rsid w:val="0093185B"/>
    <w:rsid w:val="00931A79"/>
    <w:rsid w:val="00931C27"/>
    <w:rsid w:val="00932913"/>
    <w:rsid w:val="00932FF0"/>
    <w:rsid w:val="009332C6"/>
    <w:rsid w:val="00933A79"/>
    <w:rsid w:val="00933D30"/>
    <w:rsid w:val="0093460C"/>
    <w:rsid w:val="00934B8F"/>
    <w:rsid w:val="009351E7"/>
    <w:rsid w:val="0093549A"/>
    <w:rsid w:val="00936062"/>
    <w:rsid w:val="009360A8"/>
    <w:rsid w:val="009364BF"/>
    <w:rsid w:val="00937B45"/>
    <w:rsid w:val="00937C3A"/>
    <w:rsid w:val="009400C0"/>
    <w:rsid w:val="009402BD"/>
    <w:rsid w:val="00940451"/>
    <w:rsid w:val="00940B83"/>
    <w:rsid w:val="00940D7A"/>
    <w:rsid w:val="00940DCB"/>
    <w:rsid w:val="00940F4D"/>
    <w:rsid w:val="00941958"/>
    <w:rsid w:val="0094195A"/>
    <w:rsid w:val="00941B9E"/>
    <w:rsid w:val="00942113"/>
    <w:rsid w:val="009424A1"/>
    <w:rsid w:val="0094277E"/>
    <w:rsid w:val="00942A38"/>
    <w:rsid w:val="00942B99"/>
    <w:rsid w:val="00942C0A"/>
    <w:rsid w:val="00942D79"/>
    <w:rsid w:val="00943275"/>
    <w:rsid w:val="009436BC"/>
    <w:rsid w:val="0094373D"/>
    <w:rsid w:val="009438BE"/>
    <w:rsid w:val="009440C4"/>
    <w:rsid w:val="00944D32"/>
    <w:rsid w:val="009450D2"/>
    <w:rsid w:val="00945907"/>
    <w:rsid w:val="00945AC9"/>
    <w:rsid w:val="00945B97"/>
    <w:rsid w:val="00945D5E"/>
    <w:rsid w:val="009461BA"/>
    <w:rsid w:val="00946390"/>
    <w:rsid w:val="00946950"/>
    <w:rsid w:val="009471B9"/>
    <w:rsid w:val="00947676"/>
    <w:rsid w:val="00947999"/>
    <w:rsid w:val="0095014C"/>
    <w:rsid w:val="009501E5"/>
    <w:rsid w:val="0095074B"/>
    <w:rsid w:val="00950F87"/>
    <w:rsid w:val="009511A4"/>
    <w:rsid w:val="00951266"/>
    <w:rsid w:val="0095128B"/>
    <w:rsid w:val="00952F6A"/>
    <w:rsid w:val="009530CD"/>
    <w:rsid w:val="00953358"/>
    <w:rsid w:val="009533D1"/>
    <w:rsid w:val="009536AD"/>
    <w:rsid w:val="0095421A"/>
    <w:rsid w:val="0095422D"/>
    <w:rsid w:val="0095469E"/>
    <w:rsid w:val="00954701"/>
    <w:rsid w:val="00954A93"/>
    <w:rsid w:val="00954C93"/>
    <w:rsid w:val="00954EDC"/>
    <w:rsid w:val="0095589D"/>
    <w:rsid w:val="00955BBE"/>
    <w:rsid w:val="00955D9C"/>
    <w:rsid w:val="00955F98"/>
    <w:rsid w:val="00956198"/>
    <w:rsid w:val="00956569"/>
    <w:rsid w:val="00956A13"/>
    <w:rsid w:val="0095785D"/>
    <w:rsid w:val="00957C68"/>
    <w:rsid w:val="00957D95"/>
    <w:rsid w:val="00957E57"/>
    <w:rsid w:val="00957F13"/>
    <w:rsid w:val="00957FD3"/>
    <w:rsid w:val="009600DE"/>
    <w:rsid w:val="0096019A"/>
    <w:rsid w:val="00960A18"/>
    <w:rsid w:val="00960CF0"/>
    <w:rsid w:val="00960D99"/>
    <w:rsid w:val="00961061"/>
    <w:rsid w:val="009610EF"/>
    <w:rsid w:val="009612C4"/>
    <w:rsid w:val="00961AF0"/>
    <w:rsid w:val="00962422"/>
    <w:rsid w:val="009625AF"/>
    <w:rsid w:val="00962B10"/>
    <w:rsid w:val="00962FE7"/>
    <w:rsid w:val="00963110"/>
    <w:rsid w:val="00963472"/>
    <w:rsid w:val="009638FD"/>
    <w:rsid w:val="00963D5D"/>
    <w:rsid w:val="00963D9D"/>
    <w:rsid w:val="00964813"/>
    <w:rsid w:val="00964ABE"/>
    <w:rsid w:val="00964B69"/>
    <w:rsid w:val="0096501E"/>
    <w:rsid w:val="00965045"/>
    <w:rsid w:val="00965087"/>
    <w:rsid w:val="0096536B"/>
    <w:rsid w:val="009655E6"/>
    <w:rsid w:val="009660ED"/>
    <w:rsid w:val="009661A8"/>
    <w:rsid w:val="00966BF5"/>
    <w:rsid w:val="00966CBA"/>
    <w:rsid w:val="00967425"/>
    <w:rsid w:val="00970ACE"/>
    <w:rsid w:val="00970F1C"/>
    <w:rsid w:val="00971268"/>
    <w:rsid w:val="009725FC"/>
    <w:rsid w:val="00972D87"/>
    <w:rsid w:val="00972E00"/>
    <w:rsid w:val="00972E33"/>
    <w:rsid w:val="00973136"/>
    <w:rsid w:val="00973B37"/>
    <w:rsid w:val="00974126"/>
    <w:rsid w:val="009742DA"/>
    <w:rsid w:val="00974A32"/>
    <w:rsid w:val="00974C6F"/>
    <w:rsid w:val="009750C4"/>
    <w:rsid w:val="0097525B"/>
    <w:rsid w:val="00975357"/>
    <w:rsid w:val="00975372"/>
    <w:rsid w:val="00975843"/>
    <w:rsid w:val="00975EFB"/>
    <w:rsid w:val="009760D1"/>
    <w:rsid w:val="009760E4"/>
    <w:rsid w:val="00976855"/>
    <w:rsid w:val="00976AAD"/>
    <w:rsid w:val="00977777"/>
    <w:rsid w:val="009778C1"/>
    <w:rsid w:val="00977A40"/>
    <w:rsid w:val="00977F68"/>
    <w:rsid w:val="009804FE"/>
    <w:rsid w:val="009807DE"/>
    <w:rsid w:val="00980EEA"/>
    <w:rsid w:val="00981F69"/>
    <w:rsid w:val="0098200D"/>
    <w:rsid w:val="0098218C"/>
    <w:rsid w:val="00982347"/>
    <w:rsid w:val="00982C8A"/>
    <w:rsid w:val="00982CB5"/>
    <w:rsid w:val="009837F2"/>
    <w:rsid w:val="00983C13"/>
    <w:rsid w:val="00983DE4"/>
    <w:rsid w:val="009846E7"/>
    <w:rsid w:val="00984B05"/>
    <w:rsid w:val="00984B31"/>
    <w:rsid w:val="00984BE6"/>
    <w:rsid w:val="00984C30"/>
    <w:rsid w:val="00984F19"/>
    <w:rsid w:val="0098548D"/>
    <w:rsid w:val="009859F3"/>
    <w:rsid w:val="00985C04"/>
    <w:rsid w:val="00986186"/>
    <w:rsid w:val="00986FD4"/>
    <w:rsid w:val="0098738F"/>
    <w:rsid w:val="00987771"/>
    <w:rsid w:val="00987984"/>
    <w:rsid w:val="00987AC9"/>
    <w:rsid w:val="00991222"/>
    <w:rsid w:val="0099157D"/>
    <w:rsid w:val="009915E4"/>
    <w:rsid w:val="00991ABE"/>
    <w:rsid w:val="00991AFB"/>
    <w:rsid w:val="00993D4E"/>
    <w:rsid w:val="00994037"/>
    <w:rsid w:val="0099466B"/>
    <w:rsid w:val="00994789"/>
    <w:rsid w:val="00994DA5"/>
    <w:rsid w:val="009950BE"/>
    <w:rsid w:val="009950ED"/>
    <w:rsid w:val="00995BF6"/>
    <w:rsid w:val="00995CC8"/>
    <w:rsid w:val="00995E78"/>
    <w:rsid w:val="00996035"/>
    <w:rsid w:val="00996068"/>
    <w:rsid w:val="00996081"/>
    <w:rsid w:val="009960EB"/>
    <w:rsid w:val="00996351"/>
    <w:rsid w:val="00996812"/>
    <w:rsid w:val="00996A75"/>
    <w:rsid w:val="00996B80"/>
    <w:rsid w:val="00997092"/>
    <w:rsid w:val="00997382"/>
    <w:rsid w:val="00997712"/>
    <w:rsid w:val="0099778F"/>
    <w:rsid w:val="009978F1"/>
    <w:rsid w:val="00997D6F"/>
    <w:rsid w:val="009A09B8"/>
    <w:rsid w:val="009A1038"/>
    <w:rsid w:val="009A16A4"/>
    <w:rsid w:val="009A1B14"/>
    <w:rsid w:val="009A2DEE"/>
    <w:rsid w:val="009A2FEE"/>
    <w:rsid w:val="009A300F"/>
    <w:rsid w:val="009A301C"/>
    <w:rsid w:val="009A32CE"/>
    <w:rsid w:val="009A354E"/>
    <w:rsid w:val="009A3926"/>
    <w:rsid w:val="009A3A24"/>
    <w:rsid w:val="009A3B20"/>
    <w:rsid w:val="009A4029"/>
    <w:rsid w:val="009A45FE"/>
    <w:rsid w:val="009A4A0B"/>
    <w:rsid w:val="009A4E13"/>
    <w:rsid w:val="009A4E3A"/>
    <w:rsid w:val="009A50B5"/>
    <w:rsid w:val="009A51AF"/>
    <w:rsid w:val="009A53A0"/>
    <w:rsid w:val="009A54A7"/>
    <w:rsid w:val="009A5ADC"/>
    <w:rsid w:val="009A5BD0"/>
    <w:rsid w:val="009A5CA4"/>
    <w:rsid w:val="009A5CE8"/>
    <w:rsid w:val="009A5EF8"/>
    <w:rsid w:val="009A5FD2"/>
    <w:rsid w:val="009A7328"/>
    <w:rsid w:val="009B0582"/>
    <w:rsid w:val="009B08C9"/>
    <w:rsid w:val="009B0B30"/>
    <w:rsid w:val="009B0CE9"/>
    <w:rsid w:val="009B19EC"/>
    <w:rsid w:val="009B1B1D"/>
    <w:rsid w:val="009B211E"/>
    <w:rsid w:val="009B248A"/>
    <w:rsid w:val="009B2668"/>
    <w:rsid w:val="009B2B02"/>
    <w:rsid w:val="009B2B06"/>
    <w:rsid w:val="009B2CBA"/>
    <w:rsid w:val="009B2D6E"/>
    <w:rsid w:val="009B3631"/>
    <w:rsid w:val="009B391C"/>
    <w:rsid w:val="009B39CB"/>
    <w:rsid w:val="009B422E"/>
    <w:rsid w:val="009B43F1"/>
    <w:rsid w:val="009B4BAF"/>
    <w:rsid w:val="009B534D"/>
    <w:rsid w:val="009B5545"/>
    <w:rsid w:val="009B5A44"/>
    <w:rsid w:val="009B5D9C"/>
    <w:rsid w:val="009B62A6"/>
    <w:rsid w:val="009B6F54"/>
    <w:rsid w:val="009B7388"/>
    <w:rsid w:val="009B77F6"/>
    <w:rsid w:val="009B7F47"/>
    <w:rsid w:val="009C00B3"/>
    <w:rsid w:val="009C0167"/>
    <w:rsid w:val="009C058D"/>
    <w:rsid w:val="009C06BE"/>
    <w:rsid w:val="009C0EF2"/>
    <w:rsid w:val="009C26DF"/>
    <w:rsid w:val="009C2841"/>
    <w:rsid w:val="009C28EA"/>
    <w:rsid w:val="009C2A0E"/>
    <w:rsid w:val="009C2B59"/>
    <w:rsid w:val="009C2BAC"/>
    <w:rsid w:val="009C2BE7"/>
    <w:rsid w:val="009C2E37"/>
    <w:rsid w:val="009C2E58"/>
    <w:rsid w:val="009C3B4E"/>
    <w:rsid w:val="009C3E76"/>
    <w:rsid w:val="009C418C"/>
    <w:rsid w:val="009C42C9"/>
    <w:rsid w:val="009C476F"/>
    <w:rsid w:val="009C47A7"/>
    <w:rsid w:val="009C4838"/>
    <w:rsid w:val="009C4A71"/>
    <w:rsid w:val="009C4E37"/>
    <w:rsid w:val="009C4FAD"/>
    <w:rsid w:val="009C50C5"/>
    <w:rsid w:val="009C533A"/>
    <w:rsid w:val="009C5459"/>
    <w:rsid w:val="009C5AEB"/>
    <w:rsid w:val="009C6121"/>
    <w:rsid w:val="009C678F"/>
    <w:rsid w:val="009C6D18"/>
    <w:rsid w:val="009C6F73"/>
    <w:rsid w:val="009C757F"/>
    <w:rsid w:val="009C786B"/>
    <w:rsid w:val="009C7DA7"/>
    <w:rsid w:val="009D08FC"/>
    <w:rsid w:val="009D09AD"/>
    <w:rsid w:val="009D0FD3"/>
    <w:rsid w:val="009D1551"/>
    <w:rsid w:val="009D159C"/>
    <w:rsid w:val="009D15E4"/>
    <w:rsid w:val="009D18E7"/>
    <w:rsid w:val="009D19A6"/>
    <w:rsid w:val="009D1D08"/>
    <w:rsid w:val="009D2497"/>
    <w:rsid w:val="009D258A"/>
    <w:rsid w:val="009D3A45"/>
    <w:rsid w:val="009D4E3B"/>
    <w:rsid w:val="009D5089"/>
    <w:rsid w:val="009D50D7"/>
    <w:rsid w:val="009D5DC4"/>
    <w:rsid w:val="009D6003"/>
    <w:rsid w:val="009D63C9"/>
    <w:rsid w:val="009D6860"/>
    <w:rsid w:val="009D7847"/>
    <w:rsid w:val="009D7FA5"/>
    <w:rsid w:val="009D7FD9"/>
    <w:rsid w:val="009E0351"/>
    <w:rsid w:val="009E142A"/>
    <w:rsid w:val="009E196D"/>
    <w:rsid w:val="009E1B77"/>
    <w:rsid w:val="009E27A7"/>
    <w:rsid w:val="009E2FB8"/>
    <w:rsid w:val="009E3177"/>
    <w:rsid w:val="009E3367"/>
    <w:rsid w:val="009E360A"/>
    <w:rsid w:val="009E3614"/>
    <w:rsid w:val="009E3CA4"/>
    <w:rsid w:val="009E3F63"/>
    <w:rsid w:val="009E4498"/>
    <w:rsid w:val="009E453F"/>
    <w:rsid w:val="009E51A2"/>
    <w:rsid w:val="009E5356"/>
    <w:rsid w:val="009E55B1"/>
    <w:rsid w:val="009E5E3C"/>
    <w:rsid w:val="009E5F03"/>
    <w:rsid w:val="009E6043"/>
    <w:rsid w:val="009E633A"/>
    <w:rsid w:val="009E64D8"/>
    <w:rsid w:val="009E69EA"/>
    <w:rsid w:val="009E6AE3"/>
    <w:rsid w:val="009E6B0F"/>
    <w:rsid w:val="009E6BA6"/>
    <w:rsid w:val="009E6D35"/>
    <w:rsid w:val="009E7840"/>
    <w:rsid w:val="009E7D44"/>
    <w:rsid w:val="009F05F1"/>
    <w:rsid w:val="009F0D6E"/>
    <w:rsid w:val="009F0FE8"/>
    <w:rsid w:val="009F1205"/>
    <w:rsid w:val="009F1392"/>
    <w:rsid w:val="009F1434"/>
    <w:rsid w:val="009F16CB"/>
    <w:rsid w:val="009F1B77"/>
    <w:rsid w:val="009F1C0E"/>
    <w:rsid w:val="009F1D2B"/>
    <w:rsid w:val="009F1F17"/>
    <w:rsid w:val="009F1F79"/>
    <w:rsid w:val="009F21F6"/>
    <w:rsid w:val="009F231D"/>
    <w:rsid w:val="009F26EA"/>
    <w:rsid w:val="009F285E"/>
    <w:rsid w:val="009F2C83"/>
    <w:rsid w:val="009F3938"/>
    <w:rsid w:val="009F42B9"/>
    <w:rsid w:val="009F45A7"/>
    <w:rsid w:val="009F46E1"/>
    <w:rsid w:val="009F4C24"/>
    <w:rsid w:val="009F4F04"/>
    <w:rsid w:val="009F4F22"/>
    <w:rsid w:val="009F51D7"/>
    <w:rsid w:val="009F56A6"/>
    <w:rsid w:val="009F665F"/>
    <w:rsid w:val="009F69D0"/>
    <w:rsid w:val="009F6A93"/>
    <w:rsid w:val="009F6F47"/>
    <w:rsid w:val="009F72D9"/>
    <w:rsid w:val="009F74D5"/>
    <w:rsid w:val="009F7DEB"/>
    <w:rsid w:val="009F7EA2"/>
    <w:rsid w:val="009F7FB2"/>
    <w:rsid w:val="00A000E1"/>
    <w:rsid w:val="00A000EE"/>
    <w:rsid w:val="00A00D02"/>
    <w:rsid w:val="00A011C7"/>
    <w:rsid w:val="00A0145A"/>
    <w:rsid w:val="00A015F9"/>
    <w:rsid w:val="00A01A6E"/>
    <w:rsid w:val="00A01CA2"/>
    <w:rsid w:val="00A01DD0"/>
    <w:rsid w:val="00A02016"/>
    <w:rsid w:val="00A020AD"/>
    <w:rsid w:val="00A0243F"/>
    <w:rsid w:val="00A03042"/>
    <w:rsid w:val="00A038E9"/>
    <w:rsid w:val="00A03F5B"/>
    <w:rsid w:val="00A04062"/>
    <w:rsid w:val="00A04134"/>
    <w:rsid w:val="00A04257"/>
    <w:rsid w:val="00A048AD"/>
    <w:rsid w:val="00A04B61"/>
    <w:rsid w:val="00A053FF"/>
    <w:rsid w:val="00A05C55"/>
    <w:rsid w:val="00A05DAF"/>
    <w:rsid w:val="00A061CC"/>
    <w:rsid w:val="00A062F2"/>
    <w:rsid w:val="00A068EE"/>
    <w:rsid w:val="00A06A4C"/>
    <w:rsid w:val="00A06B0B"/>
    <w:rsid w:val="00A06E11"/>
    <w:rsid w:val="00A072FB"/>
    <w:rsid w:val="00A07D77"/>
    <w:rsid w:val="00A1023C"/>
    <w:rsid w:val="00A10DE9"/>
    <w:rsid w:val="00A11BDB"/>
    <w:rsid w:val="00A122ED"/>
    <w:rsid w:val="00A126C2"/>
    <w:rsid w:val="00A13136"/>
    <w:rsid w:val="00A13AB0"/>
    <w:rsid w:val="00A13EC6"/>
    <w:rsid w:val="00A14C57"/>
    <w:rsid w:val="00A14FC8"/>
    <w:rsid w:val="00A15159"/>
    <w:rsid w:val="00A15791"/>
    <w:rsid w:val="00A15DCD"/>
    <w:rsid w:val="00A15E09"/>
    <w:rsid w:val="00A16628"/>
    <w:rsid w:val="00A168A1"/>
    <w:rsid w:val="00A16B34"/>
    <w:rsid w:val="00A16DC5"/>
    <w:rsid w:val="00A1766B"/>
    <w:rsid w:val="00A17748"/>
    <w:rsid w:val="00A17758"/>
    <w:rsid w:val="00A17C73"/>
    <w:rsid w:val="00A20385"/>
    <w:rsid w:val="00A20502"/>
    <w:rsid w:val="00A20667"/>
    <w:rsid w:val="00A20923"/>
    <w:rsid w:val="00A20DA7"/>
    <w:rsid w:val="00A212AD"/>
    <w:rsid w:val="00A21590"/>
    <w:rsid w:val="00A21953"/>
    <w:rsid w:val="00A21A57"/>
    <w:rsid w:val="00A21A72"/>
    <w:rsid w:val="00A225AA"/>
    <w:rsid w:val="00A225D6"/>
    <w:rsid w:val="00A22766"/>
    <w:rsid w:val="00A229CC"/>
    <w:rsid w:val="00A22A65"/>
    <w:rsid w:val="00A23213"/>
    <w:rsid w:val="00A233E9"/>
    <w:rsid w:val="00A23878"/>
    <w:rsid w:val="00A238BD"/>
    <w:rsid w:val="00A2395C"/>
    <w:rsid w:val="00A23C4E"/>
    <w:rsid w:val="00A240B6"/>
    <w:rsid w:val="00A24516"/>
    <w:rsid w:val="00A24A25"/>
    <w:rsid w:val="00A24B57"/>
    <w:rsid w:val="00A24DBC"/>
    <w:rsid w:val="00A25770"/>
    <w:rsid w:val="00A26074"/>
    <w:rsid w:val="00A26175"/>
    <w:rsid w:val="00A268C6"/>
    <w:rsid w:val="00A27327"/>
    <w:rsid w:val="00A27582"/>
    <w:rsid w:val="00A276AB"/>
    <w:rsid w:val="00A30053"/>
    <w:rsid w:val="00A300B8"/>
    <w:rsid w:val="00A307F4"/>
    <w:rsid w:val="00A30821"/>
    <w:rsid w:val="00A30986"/>
    <w:rsid w:val="00A30BC1"/>
    <w:rsid w:val="00A314D2"/>
    <w:rsid w:val="00A31886"/>
    <w:rsid w:val="00A31B79"/>
    <w:rsid w:val="00A323B1"/>
    <w:rsid w:val="00A326E8"/>
    <w:rsid w:val="00A32871"/>
    <w:rsid w:val="00A32F1D"/>
    <w:rsid w:val="00A3369C"/>
    <w:rsid w:val="00A336A2"/>
    <w:rsid w:val="00A33AF7"/>
    <w:rsid w:val="00A33E33"/>
    <w:rsid w:val="00A34165"/>
    <w:rsid w:val="00A3440F"/>
    <w:rsid w:val="00A3488E"/>
    <w:rsid w:val="00A34915"/>
    <w:rsid w:val="00A34938"/>
    <w:rsid w:val="00A34F02"/>
    <w:rsid w:val="00A358AC"/>
    <w:rsid w:val="00A35A21"/>
    <w:rsid w:val="00A35BBB"/>
    <w:rsid w:val="00A35E04"/>
    <w:rsid w:val="00A36C36"/>
    <w:rsid w:val="00A37046"/>
    <w:rsid w:val="00A37459"/>
    <w:rsid w:val="00A375C2"/>
    <w:rsid w:val="00A375F9"/>
    <w:rsid w:val="00A3796A"/>
    <w:rsid w:val="00A37980"/>
    <w:rsid w:val="00A37CA2"/>
    <w:rsid w:val="00A40DE4"/>
    <w:rsid w:val="00A40FF2"/>
    <w:rsid w:val="00A41823"/>
    <w:rsid w:val="00A419AA"/>
    <w:rsid w:val="00A419AC"/>
    <w:rsid w:val="00A419CE"/>
    <w:rsid w:val="00A41B7E"/>
    <w:rsid w:val="00A42051"/>
    <w:rsid w:val="00A4205B"/>
    <w:rsid w:val="00A4221C"/>
    <w:rsid w:val="00A42266"/>
    <w:rsid w:val="00A42944"/>
    <w:rsid w:val="00A4299E"/>
    <w:rsid w:val="00A42B8E"/>
    <w:rsid w:val="00A42DAD"/>
    <w:rsid w:val="00A42E1D"/>
    <w:rsid w:val="00A42E6E"/>
    <w:rsid w:val="00A43B3D"/>
    <w:rsid w:val="00A43F8A"/>
    <w:rsid w:val="00A44111"/>
    <w:rsid w:val="00A442CB"/>
    <w:rsid w:val="00A444A7"/>
    <w:rsid w:val="00A446FE"/>
    <w:rsid w:val="00A44C1C"/>
    <w:rsid w:val="00A44D7C"/>
    <w:rsid w:val="00A45252"/>
    <w:rsid w:val="00A4536F"/>
    <w:rsid w:val="00A456EB"/>
    <w:rsid w:val="00A45926"/>
    <w:rsid w:val="00A459A2"/>
    <w:rsid w:val="00A45B26"/>
    <w:rsid w:val="00A4600E"/>
    <w:rsid w:val="00A463F7"/>
    <w:rsid w:val="00A46460"/>
    <w:rsid w:val="00A46ACB"/>
    <w:rsid w:val="00A46C57"/>
    <w:rsid w:val="00A46DD2"/>
    <w:rsid w:val="00A47351"/>
    <w:rsid w:val="00A47EE2"/>
    <w:rsid w:val="00A50218"/>
    <w:rsid w:val="00A50482"/>
    <w:rsid w:val="00A5140E"/>
    <w:rsid w:val="00A5147C"/>
    <w:rsid w:val="00A5174E"/>
    <w:rsid w:val="00A51D48"/>
    <w:rsid w:val="00A51E0D"/>
    <w:rsid w:val="00A52416"/>
    <w:rsid w:val="00A52792"/>
    <w:rsid w:val="00A52A0E"/>
    <w:rsid w:val="00A53056"/>
    <w:rsid w:val="00A53D0A"/>
    <w:rsid w:val="00A53E9C"/>
    <w:rsid w:val="00A55A4A"/>
    <w:rsid w:val="00A55AEA"/>
    <w:rsid w:val="00A55B7D"/>
    <w:rsid w:val="00A55D08"/>
    <w:rsid w:val="00A56178"/>
    <w:rsid w:val="00A569DE"/>
    <w:rsid w:val="00A56F07"/>
    <w:rsid w:val="00A57171"/>
    <w:rsid w:val="00A571C2"/>
    <w:rsid w:val="00A57368"/>
    <w:rsid w:val="00A5772E"/>
    <w:rsid w:val="00A57886"/>
    <w:rsid w:val="00A60307"/>
    <w:rsid w:val="00A6056C"/>
    <w:rsid w:val="00A60DB0"/>
    <w:rsid w:val="00A60F14"/>
    <w:rsid w:val="00A611CB"/>
    <w:rsid w:val="00A61267"/>
    <w:rsid w:val="00A61314"/>
    <w:rsid w:val="00A614D9"/>
    <w:rsid w:val="00A61E9A"/>
    <w:rsid w:val="00A62200"/>
    <w:rsid w:val="00A62380"/>
    <w:rsid w:val="00A62905"/>
    <w:rsid w:val="00A62C8B"/>
    <w:rsid w:val="00A634E3"/>
    <w:rsid w:val="00A63637"/>
    <w:rsid w:val="00A63AE2"/>
    <w:rsid w:val="00A63B86"/>
    <w:rsid w:val="00A64298"/>
    <w:rsid w:val="00A64F0C"/>
    <w:rsid w:val="00A653CE"/>
    <w:rsid w:val="00A65449"/>
    <w:rsid w:val="00A654D5"/>
    <w:rsid w:val="00A655B6"/>
    <w:rsid w:val="00A65861"/>
    <w:rsid w:val="00A65933"/>
    <w:rsid w:val="00A65F35"/>
    <w:rsid w:val="00A66057"/>
    <w:rsid w:val="00A661BA"/>
    <w:rsid w:val="00A661FB"/>
    <w:rsid w:val="00A6643D"/>
    <w:rsid w:val="00A664DE"/>
    <w:rsid w:val="00A6654D"/>
    <w:rsid w:val="00A66735"/>
    <w:rsid w:val="00A668B5"/>
    <w:rsid w:val="00A66EC6"/>
    <w:rsid w:val="00A67308"/>
    <w:rsid w:val="00A676C9"/>
    <w:rsid w:val="00A67C60"/>
    <w:rsid w:val="00A67F47"/>
    <w:rsid w:val="00A704C1"/>
    <w:rsid w:val="00A707B6"/>
    <w:rsid w:val="00A708B7"/>
    <w:rsid w:val="00A70E5F"/>
    <w:rsid w:val="00A71CA6"/>
    <w:rsid w:val="00A71DA2"/>
    <w:rsid w:val="00A71DEA"/>
    <w:rsid w:val="00A72080"/>
    <w:rsid w:val="00A72950"/>
    <w:rsid w:val="00A7296B"/>
    <w:rsid w:val="00A72CF8"/>
    <w:rsid w:val="00A7382D"/>
    <w:rsid w:val="00A73E4D"/>
    <w:rsid w:val="00A73FAF"/>
    <w:rsid w:val="00A741E9"/>
    <w:rsid w:val="00A746E8"/>
    <w:rsid w:val="00A74A71"/>
    <w:rsid w:val="00A74C6C"/>
    <w:rsid w:val="00A75472"/>
    <w:rsid w:val="00A754B5"/>
    <w:rsid w:val="00A75923"/>
    <w:rsid w:val="00A75A7D"/>
    <w:rsid w:val="00A75FD6"/>
    <w:rsid w:val="00A76126"/>
    <w:rsid w:val="00A76328"/>
    <w:rsid w:val="00A763C2"/>
    <w:rsid w:val="00A765F1"/>
    <w:rsid w:val="00A767CE"/>
    <w:rsid w:val="00A76C76"/>
    <w:rsid w:val="00A76D68"/>
    <w:rsid w:val="00A76E1A"/>
    <w:rsid w:val="00A7757F"/>
    <w:rsid w:val="00A77979"/>
    <w:rsid w:val="00A77CD1"/>
    <w:rsid w:val="00A801B6"/>
    <w:rsid w:val="00A80435"/>
    <w:rsid w:val="00A80475"/>
    <w:rsid w:val="00A8089A"/>
    <w:rsid w:val="00A80A9F"/>
    <w:rsid w:val="00A80AEF"/>
    <w:rsid w:val="00A80B4F"/>
    <w:rsid w:val="00A8141F"/>
    <w:rsid w:val="00A816BD"/>
    <w:rsid w:val="00A816DA"/>
    <w:rsid w:val="00A83051"/>
    <w:rsid w:val="00A83506"/>
    <w:rsid w:val="00A837F5"/>
    <w:rsid w:val="00A83E5D"/>
    <w:rsid w:val="00A840D0"/>
    <w:rsid w:val="00A84696"/>
    <w:rsid w:val="00A84A53"/>
    <w:rsid w:val="00A853BB"/>
    <w:rsid w:val="00A85BC2"/>
    <w:rsid w:val="00A85EC8"/>
    <w:rsid w:val="00A85F57"/>
    <w:rsid w:val="00A86149"/>
    <w:rsid w:val="00A86B2C"/>
    <w:rsid w:val="00A86E9A"/>
    <w:rsid w:val="00A87727"/>
    <w:rsid w:val="00A87963"/>
    <w:rsid w:val="00A87A79"/>
    <w:rsid w:val="00A87D7E"/>
    <w:rsid w:val="00A87F14"/>
    <w:rsid w:val="00A87FBB"/>
    <w:rsid w:val="00A90150"/>
    <w:rsid w:val="00A90704"/>
    <w:rsid w:val="00A9075F"/>
    <w:rsid w:val="00A9102A"/>
    <w:rsid w:val="00A91C58"/>
    <w:rsid w:val="00A91E9D"/>
    <w:rsid w:val="00A91F7E"/>
    <w:rsid w:val="00A9202D"/>
    <w:rsid w:val="00A9212F"/>
    <w:rsid w:val="00A922B9"/>
    <w:rsid w:val="00A92332"/>
    <w:rsid w:val="00A92703"/>
    <w:rsid w:val="00A92E3E"/>
    <w:rsid w:val="00A92F35"/>
    <w:rsid w:val="00A935F0"/>
    <w:rsid w:val="00A93829"/>
    <w:rsid w:val="00A93A98"/>
    <w:rsid w:val="00A93C82"/>
    <w:rsid w:val="00A93CE9"/>
    <w:rsid w:val="00A940BC"/>
    <w:rsid w:val="00A9420E"/>
    <w:rsid w:val="00A945BD"/>
    <w:rsid w:val="00A94BDA"/>
    <w:rsid w:val="00A94C43"/>
    <w:rsid w:val="00A957D7"/>
    <w:rsid w:val="00A95881"/>
    <w:rsid w:val="00A95939"/>
    <w:rsid w:val="00A95B37"/>
    <w:rsid w:val="00A95C50"/>
    <w:rsid w:val="00A95CD0"/>
    <w:rsid w:val="00A96DF6"/>
    <w:rsid w:val="00A971B6"/>
    <w:rsid w:val="00A973DE"/>
    <w:rsid w:val="00A97584"/>
    <w:rsid w:val="00AA02F1"/>
    <w:rsid w:val="00AA0466"/>
    <w:rsid w:val="00AA059B"/>
    <w:rsid w:val="00AA09A3"/>
    <w:rsid w:val="00AA0B49"/>
    <w:rsid w:val="00AA0E73"/>
    <w:rsid w:val="00AA114B"/>
    <w:rsid w:val="00AA148D"/>
    <w:rsid w:val="00AA187B"/>
    <w:rsid w:val="00AA1922"/>
    <w:rsid w:val="00AA1B51"/>
    <w:rsid w:val="00AA1BC3"/>
    <w:rsid w:val="00AA1F71"/>
    <w:rsid w:val="00AA21B2"/>
    <w:rsid w:val="00AA2EA3"/>
    <w:rsid w:val="00AA2FC2"/>
    <w:rsid w:val="00AA30E3"/>
    <w:rsid w:val="00AA3A14"/>
    <w:rsid w:val="00AA3C26"/>
    <w:rsid w:val="00AA41B1"/>
    <w:rsid w:val="00AA43ED"/>
    <w:rsid w:val="00AA4453"/>
    <w:rsid w:val="00AA46FD"/>
    <w:rsid w:val="00AA4857"/>
    <w:rsid w:val="00AA4B11"/>
    <w:rsid w:val="00AA525D"/>
    <w:rsid w:val="00AA5DAB"/>
    <w:rsid w:val="00AA604A"/>
    <w:rsid w:val="00AA6244"/>
    <w:rsid w:val="00AA6B13"/>
    <w:rsid w:val="00AA6CAA"/>
    <w:rsid w:val="00AA7B7D"/>
    <w:rsid w:val="00AB020E"/>
    <w:rsid w:val="00AB0890"/>
    <w:rsid w:val="00AB0A0F"/>
    <w:rsid w:val="00AB0EE3"/>
    <w:rsid w:val="00AB0FC0"/>
    <w:rsid w:val="00AB1B56"/>
    <w:rsid w:val="00AB1E68"/>
    <w:rsid w:val="00AB1EAF"/>
    <w:rsid w:val="00AB21DA"/>
    <w:rsid w:val="00AB2AC8"/>
    <w:rsid w:val="00AB2B81"/>
    <w:rsid w:val="00AB2F70"/>
    <w:rsid w:val="00AB32DF"/>
    <w:rsid w:val="00AB32E4"/>
    <w:rsid w:val="00AB365F"/>
    <w:rsid w:val="00AB3EE1"/>
    <w:rsid w:val="00AB3F8D"/>
    <w:rsid w:val="00AB4714"/>
    <w:rsid w:val="00AB49DD"/>
    <w:rsid w:val="00AB4F7A"/>
    <w:rsid w:val="00AB56EF"/>
    <w:rsid w:val="00AB6734"/>
    <w:rsid w:val="00AB75E6"/>
    <w:rsid w:val="00AB77BE"/>
    <w:rsid w:val="00AB79AE"/>
    <w:rsid w:val="00AC052B"/>
    <w:rsid w:val="00AC0A77"/>
    <w:rsid w:val="00AC0AF8"/>
    <w:rsid w:val="00AC1105"/>
    <w:rsid w:val="00AC127F"/>
    <w:rsid w:val="00AC159E"/>
    <w:rsid w:val="00AC16A4"/>
    <w:rsid w:val="00AC1851"/>
    <w:rsid w:val="00AC19C4"/>
    <w:rsid w:val="00AC2BAD"/>
    <w:rsid w:val="00AC355D"/>
    <w:rsid w:val="00AC3A88"/>
    <w:rsid w:val="00AC3C8B"/>
    <w:rsid w:val="00AC3EC3"/>
    <w:rsid w:val="00AC4B64"/>
    <w:rsid w:val="00AC5106"/>
    <w:rsid w:val="00AC53A5"/>
    <w:rsid w:val="00AC56B4"/>
    <w:rsid w:val="00AC5746"/>
    <w:rsid w:val="00AC5B54"/>
    <w:rsid w:val="00AC5FB1"/>
    <w:rsid w:val="00AC64C8"/>
    <w:rsid w:val="00AC678F"/>
    <w:rsid w:val="00AC6862"/>
    <w:rsid w:val="00AC6D4C"/>
    <w:rsid w:val="00AC6FAA"/>
    <w:rsid w:val="00AC72B4"/>
    <w:rsid w:val="00AC74BA"/>
    <w:rsid w:val="00AC74CC"/>
    <w:rsid w:val="00AC7563"/>
    <w:rsid w:val="00AC780D"/>
    <w:rsid w:val="00AC7CF7"/>
    <w:rsid w:val="00AD00D1"/>
    <w:rsid w:val="00AD032A"/>
    <w:rsid w:val="00AD0DCC"/>
    <w:rsid w:val="00AD10FC"/>
    <w:rsid w:val="00AD12BC"/>
    <w:rsid w:val="00AD22B1"/>
    <w:rsid w:val="00AD22CA"/>
    <w:rsid w:val="00AD232A"/>
    <w:rsid w:val="00AD23DD"/>
    <w:rsid w:val="00AD2570"/>
    <w:rsid w:val="00AD2E52"/>
    <w:rsid w:val="00AD34E9"/>
    <w:rsid w:val="00AD380F"/>
    <w:rsid w:val="00AD4509"/>
    <w:rsid w:val="00AD46BA"/>
    <w:rsid w:val="00AD4848"/>
    <w:rsid w:val="00AD4A38"/>
    <w:rsid w:val="00AD519F"/>
    <w:rsid w:val="00AD5243"/>
    <w:rsid w:val="00AD5F8E"/>
    <w:rsid w:val="00AD64FE"/>
    <w:rsid w:val="00AD775A"/>
    <w:rsid w:val="00AD7D94"/>
    <w:rsid w:val="00AE0734"/>
    <w:rsid w:val="00AE07CA"/>
    <w:rsid w:val="00AE0BF2"/>
    <w:rsid w:val="00AE0C2D"/>
    <w:rsid w:val="00AE0FC1"/>
    <w:rsid w:val="00AE150E"/>
    <w:rsid w:val="00AE1D33"/>
    <w:rsid w:val="00AE1E4E"/>
    <w:rsid w:val="00AE2179"/>
    <w:rsid w:val="00AE23AF"/>
    <w:rsid w:val="00AE3042"/>
    <w:rsid w:val="00AE389E"/>
    <w:rsid w:val="00AE3D7E"/>
    <w:rsid w:val="00AE55DD"/>
    <w:rsid w:val="00AE5E57"/>
    <w:rsid w:val="00AE5FA6"/>
    <w:rsid w:val="00AE6052"/>
    <w:rsid w:val="00AE783F"/>
    <w:rsid w:val="00AE7971"/>
    <w:rsid w:val="00AF017F"/>
    <w:rsid w:val="00AF0BB7"/>
    <w:rsid w:val="00AF0DBB"/>
    <w:rsid w:val="00AF1316"/>
    <w:rsid w:val="00AF140F"/>
    <w:rsid w:val="00AF158E"/>
    <w:rsid w:val="00AF1D88"/>
    <w:rsid w:val="00AF27FD"/>
    <w:rsid w:val="00AF2B5D"/>
    <w:rsid w:val="00AF2DC6"/>
    <w:rsid w:val="00AF2EED"/>
    <w:rsid w:val="00AF2FCD"/>
    <w:rsid w:val="00AF32CB"/>
    <w:rsid w:val="00AF3533"/>
    <w:rsid w:val="00AF4A34"/>
    <w:rsid w:val="00AF4D11"/>
    <w:rsid w:val="00AF5191"/>
    <w:rsid w:val="00AF581C"/>
    <w:rsid w:val="00AF5832"/>
    <w:rsid w:val="00AF5A41"/>
    <w:rsid w:val="00AF5A47"/>
    <w:rsid w:val="00AF5DD5"/>
    <w:rsid w:val="00AF612E"/>
    <w:rsid w:val="00AF6E86"/>
    <w:rsid w:val="00AF759C"/>
    <w:rsid w:val="00AF7646"/>
    <w:rsid w:val="00AF789B"/>
    <w:rsid w:val="00AF7993"/>
    <w:rsid w:val="00AF7BBB"/>
    <w:rsid w:val="00AF7DDE"/>
    <w:rsid w:val="00B00241"/>
    <w:rsid w:val="00B00E29"/>
    <w:rsid w:val="00B01259"/>
    <w:rsid w:val="00B016A9"/>
    <w:rsid w:val="00B029B8"/>
    <w:rsid w:val="00B02D95"/>
    <w:rsid w:val="00B034C8"/>
    <w:rsid w:val="00B03625"/>
    <w:rsid w:val="00B038A4"/>
    <w:rsid w:val="00B038F9"/>
    <w:rsid w:val="00B03A52"/>
    <w:rsid w:val="00B040F4"/>
    <w:rsid w:val="00B0472C"/>
    <w:rsid w:val="00B0488B"/>
    <w:rsid w:val="00B04D56"/>
    <w:rsid w:val="00B05727"/>
    <w:rsid w:val="00B059E3"/>
    <w:rsid w:val="00B05B27"/>
    <w:rsid w:val="00B05C65"/>
    <w:rsid w:val="00B05E32"/>
    <w:rsid w:val="00B068E2"/>
    <w:rsid w:val="00B06C7E"/>
    <w:rsid w:val="00B076A8"/>
    <w:rsid w:val="00B07907"/>
    <w:rsid w:val="00B07EC6"/>
    <w:rsid w:val="00B07F6F"/>
    <w:rsid w:val="00B07FFB"/>
    <w:rsid w:val="00B1085F"/>
    <w:rsid w:val="00B10A1A"/>
    <w:rsid w:val="00B11148"/>
    <w:rsid w:val="00B122C3"/>
    <w:rsid w:val="00B13415"/>
    <w:rsid w:val="00B135AA"/>
    <w:rsid w:val="00B13981"/>
    <w:rsid w:val="00B13C63"/>
    <w:rsid w:val="00B13F2E"/>
    <w:rsid w:val="00B13FA1"/>
    <w:rsid w:val="00B1484F"/>
    <w:rsid w:val="00B14ECD"/>
    <w:rsid w:val="00B151E8"/>
    <w:rsid w:val="00B15DF6"/>
    <w:rsid w:val="00B1659E"/>
    <w:rsid w:val="00B16C8E"/>
    <w:rsid w:val="00B16DDF"/>
    <w:rsid w:val="00B174A5"/>
    <w:rsid w:val="00B1794F"/>
    <w:rsid w:val="00B17CFE"/>
    <w:rsid w:val="00B17D80"/>
    <w:rsid w:val="00B200C2"/>
    <w:rsid w:val="00B2011C"/>
    <w:rsid w:val="00B20F33"/>
    <w:rsid w:val="00B2110E"/>
    <w:rsid w:val="00B21292"/>
    <w:rsid w:val="00B218B5"/>
    <w:rsid w:val="00B21A0D"/>
    <w:rsid w:val="00B21E96"/>
    <w:rsid w:val="00B220C7"/>
    <w:rsid w:val="00B22CAD"/>
    <w:rsid w:val="00B23809"/>
    <w:rsid w:val="00B23CE9"/>
    <w:rsid w:val="00B23EFD"/>
    <w:rsid w:val="00B248BB"/>
    <w:rsid w:val="00B24A1A"/>
    <w:rsid w:val="00B24ACB"/>
    <w:rsid w:val="00B24F33"/>
    <w:rsid w:val="00B25B22"/>
    <w:rsid w:val="00B25B9A"/>
    <w:rsid w:val="00B25D47"/>
    <w:rsid w:val="00B25F5C"/>
    <w:rsid w:val="00B262EA"/>
    <w:rsid w:val="00B26559"/>
    <w:rsid w:val="00B267E6"/>
    <w:rsid w:val="00B2774B"/>
    <w:rsid w:val="00B301CA"/>
    <w:rsid w:val="00B30416"/>
    <w:rsid w:val="00B305A2"/>
    <w:rsid w:val="00B30CE0"/>
    <w:rsid w:val="00B3146A"/>
    <w:rsid w:val="00B319B4"/>
    <w:rsid w:val="00B31B43"/>
    <w:rsid w:val="00B32039"/>
    <w:rsid w:val="00B32041"/>
    <w:rsid w:val="00B323E6"/>
    <w:rsid w:val="00B3290C"/>
    <w:rsid w:val="00B3298A"/>
    <w:rsid w:val="00B32BF6"/>
    <w:rsid w:val="00B33406"/>
    <w:rsid w:val="00B33448"/>
    <w:rsid w:val="00B338F9"/>
    <w:rsid w:val="00B33CFF"/>
    <w:rsid w:val="00B34268"/>
    <w:rsid w:val="00B347AE"/>
    <w:rsid w:val="00B34CDA"/>
    <w:rsid w:val="00B35641"/>
    <w:rsid w:val="00B35834"/>
    <w:rsid w:val="00B359A5"/>
    <w:rsid w:val="00B359F8"/>
    <w:rsid w:val="00B37496"/>
    <w:rsid w:val="00B3760C"/>
    <w:rsid w:val="00B378EC"/>
    <w:rsid w:val="00B37D4F"/>
    <w:rsid w:val="00B37F6F"/>
    <w:rsid w:val="00B4043D"/>
    <w:rsid w:val="00B40518"/>
    <w:rsid w:val="00B40E97"/>
    <w:rsid w:val="00B41089"/>
    <w:rsid w:val="00B41278"/>
    <w:rsid w:val="00B41620"/>
    <w:rsid w:val="00B41F90"/>
    <w:rsid w:val="00B423FE"/>
    <w:rsid w:val="00B43041"/>
    <w:rsid w:val="00B43271"/>
    <w:rsid w:val="00B434CC"/>
    <w:rsid w:val="00B43C64"/>
    <w:rsid w:val="00B4410F"/>
    <w:rsid w:val="00B444C3"/>
    <w:rsid w:val="00B44B11"/>
    <w:rsid w:val="00B44D91"/>
    <w:rsid w:val="00B4530C"/>
    <w:rsid w:val="00B45335"/>
    <w:rsid w:val="00B45AFA"/>
    <w:rsid w:val="00B45E63"/>
    <w:rsid w:val="00B45F64"/>
    <w:rsid w:val="00B466B1"/>
    <w:rsid w:val="00B470AE"/>
    <w:rsid w:val="00B5031B"/>
    <w:rsid w:val="00B50DE8"/>
    <w:rsid w:val="00B50EAB"/>
    <w:rsid w:val="00B50EDA"/>
    <w:rsid w:val="00B50FDF"/>
    <w:rsid w:val="00B51067"/>
    <w:rsid w:val="00B51406"/>
    <w:rsid w:val="00B51491"/>
    <w:rsid w:val="00B51C00"/>
    <w:rsid w:val="00B5210E"/>
    <w:rsid w:val="00B5219F"/>
    <w:rsid w:val="00B5286D"/>
    <w:rsid w:val="00B52ACA"/>
    <w:rsid w:val="00B52FC1"/>
    <w:rsid w:val="00B5343F"/>
    <w:rsid w:val="00B5358B"/>
    <w:rsid w:val="00B53801"/>
    <w:rsid w:val="00B53963"/>
    <w:rsid w:val="00B53AA7"/>
    <w:rsid w:val="00B53BAF"/>
    <w:rsid w:val="00B544E8"/>
    <w:rsid w:val="00B54571"/>
    <w:rsid w:val="00B54E71"/>
    <w:rsid w:val="00B54EE0"/>
    <w:rsid w:val="00B5588F"/>
    <w:rsid w:val="00B558BC"/>
    <w:rsid w:val="00B55F96"/>
    <w:rsid w:val="00B56029"/>
    <w:rsid w:val="00B5695E"/>
    <w:rsid w:val="00B56DB1"/>
    <w:rsid w:val="00B56F00"/>
    <w:rsid w:val="00B56F7B"/>
    <w:rsid w:val="00B57EB8"/>
    <w:rsid w:val="00B57F9F"/>
    <w:rsid w:val="00B6002D"/>
    <w:rsid w:val="00B60897"/>
    <w:rsid w:val="00B6089F"/>
    <w:rsid w:val="00B624DD"/>
    <w:rsid w:val="00B6299C"/>
    <w:rsid w:val="00B629BD"/>
    <w:rsid w:val="00B62B2E"/>
    <w:rsid w:val="00B62E38"/>
    <w:rsid w:val="00B63677"/>
    <w:rsid w:val="00B637AB"/>
    <w:rsid w:val="00B6380B"/>
    <w:rsid w:val="00B63A97"/>
    <w:rsid w:val="00B63DA3"/>
    <w:rsid w:val="00B642FF"/>
    <w:rsid w:val="00B6445F"/>
    <w:rsid w:val="00B64C00"/>
    <w:rsid w:val="00B65210"/>
    <w:rsid w:val="00B65506"/>
    <w:rsid w:val="00B66010"/>
    <w:rsid w:val="00B66819"/>
    <w:rsid w:val="00B66852"/>
    <w:rsid w:val="00B67119"/>
    <w:rsid w:val="00B70179"/>
    <w:rsid w:val="00B702AF"/>
    <w:rsid w:val="00B704A0"/>
    <w:rsid w:val="00B70626"/>
    <w:rsid w:val="00B71265"/>
    <w:rsid w:val="00B724BE"/>
    <w:rsid w:val="00B726C7"/>
    <w:rsid w:val="00B727B6"/>
    <w:rsid w:val="00B72858"/>
    <w:rsid w:val="00B72907"/>
    <w:rsid w:val="00B72A58"/>
    <w:rsid w:val="00B73705"/>
    <w:rsid w:val="00B73A19"/>
    <w:rsid w:val="00B74063"/>
    <w:rsid w:val="00B746E4"/>
    <w:rsid w:val="00B7650C"/>
    <w:rsid w:val="00B774FE"/>
    <w:rsid w:val="00B777FC"/>
    <w:rsid w:val="00B804E0"/>
    <w:rsid w:val="00B80AF2"/>
    <w:rsid w:val="00B80CE6"/>
    <w:rsid w:val="00B80D2D"/>
    <w:rsid w:val="00B80E5B"/>
    <w:rsid w:val="00B811DF"/>
    <w:rsid w:val="00B81B9E"/>
    <w:rsid w:val="00B829FC"/>
    <w:rsid w:val="00B82C85"/>
    <w:rsid w:val="00B83F0A"/>
    <w:rsid w:val="00B84328"/>
    <w:rsid w:val="00B8453A"/>
    <w:rsid w:val="00B8496D"/>
    <w:rsid w:val="00B84FE0"/>
    <w:rsid w:val="00B855EF"/>
    <w:rsid w:val="00B85AED"/>
    <w:rsid w:val="00B85EE2"/>
    <w:rsid w:val="00B86727"/>
    <w:rsid w:val="00B87128"/>
    <w:rsid w:val="00B87630"/>
    <w:rsid w:val="00B878B8"/>
    <w:rsid w:val="00B878DD"/>
    <w:rsid w:val="00B87B8F"/>
    <w:rsid w:val="00B87CAB"/>
    <w:rsid w:val="00B90194"/>
    <w:rsid w:val="00B90826"/>
    <w:rsid w:val="00B91288"/>
    <w:rsid w:val="00B91602"/>
    <w:rsid w:val="00B91B4C"/>
    <w:rsid w:val="00B91C3D"/>
    <w:rsid w:val="00B91E27"/>
    <w:rsid w:val="00B91E62"/>
    <w:rsid w:val="00B921AE"/>
    <w:rsid w:val="00B921E4"/>
    <w:rsid w:val="00B92AB4"/>
    <w:rsid w:val="00B92C0D"/>
    <w:rsid w:val="00B92FCC"/>
    <w:rsid w:val="00B93335"/>
    <w:rsid w:val="00B933E2"/>
    <w:rsid w:val="00B93B5D"/>
    <w:rsid w:val="00B93BB4"/>
    <w:rsid w:val="00B93E0A"/>
    <w:rsid w:val="00B93FB2"/>
    <w:rsid w:val="00B9407C"/>
    <w:rsid w:val="00B9474B"/>
    <w:rsid w:val="00B94843"/>
    <w:rsid w:val="00B94B4D"/>
    <w:rsid w:val="00B94E92"/>
    <w:rsid w:val="00B959E0"/>
    <w:rsid w:val="00B96147"/>
    <w:rsid w:val="00B96F1B"/>
    <w:rsid w:val="00B9700C"/>
    <w:rsid w:val="00B9795B"/>
    <w:rsid w:val="00B979F6"/>
    <w:rsid w:val="00B97E81"/>
    <w:rsid w:val="00BA0137"/>
    <w:rsid w:val="00BA0FE4"/>
    <w:rsid w:val="00BA32E9"/>
    <w:rsid w:val="00BA3F7C"/>
    <w:rsid w:val="00BA41F4"/>
    <w:rsid w:val="00BA4A81"/>
    <w:rsid w:val="00BA526F"/>
    <w:rsid w:val="00BA5F77"/>
    <w:rsid w:val="00BA6052"/>
    <w:rsid w:val="00BA6380"/>
    <w:rsid w:val="00BA66B6"/>
    <w:rsid w:val="00BA6C73"/>
    <w:rsid w:val="00BA7E7D"/>
    <w:rsid w:val="00BB016A"/>
    <w:rsid w:val="00BB0917"/>
    <w:rsid w:val="00BB0FC7"/>
    <w:rsid w:val="00BB1540"/>
    <w:rsid w:val="00BB1547"/>
    <w:rsid w:val="00BB1B85"/>
    <w:rsid w:val="00BB1BCA"/>
    <w:rsid w:val="00BB1E39"/>
    <w:rsid w:val="00BB1F58"/>
    <w:rsid w:val="00BB2149"/>
    <w:rsid w:val="00BB2611"/>
    <w:rsid w:val="00BB27C4"/>
    <w:rsid w:val="00BB2C50"/>
    <w:rsid w:val="00BB2CE8"/>
    <w:rsid w:val="00BB30FD"/>
    <w:rsid w:val="00BB332D"/>
    <w:rsid w:val="00BB3F78"/>
    <w:rsid w:val="00BB47C8"/>
    <w:rsid w:val="00BB48A4"/>
    <w:rsid w:val="00BB4D1D"/>
    <w:rsid w:val="00BB55FB"/>
    <w:rsid w:val="00BB5CB3"/>
    <w:rsid w:val="00BB6C82"/>
    <w:rsid w:val="00BB6D5C"/>
    <w:rsid w:val="00BB6EB4"/>
    <w:rsid w:val="00BB7C16"/>
    <w:rsid w:val="00BC002D"/>
    <w:rsid w:val="00BC0493"/>
    <w:rsid w:val="00BC09AA"/>
    <w:rsid w:val="00BC1BC7"/>
    <w:rsid w:val="00BC1D05"/>
    <w:rsid w:val="00BC23E0"/>
    <w:rsid w:val="00BC253B"/>
    <w:rsid w:val="00BC3416"/>
    <w:rsid w:val="00BC3B58"/>
    <w:rsid w:val="00BC4454"/>
    <w:rsid w:val="00BC45BB"/>
    <w:rsid w:val="00BC489B"/>
    <w:rsid w:val="00BC4E62"/>
    <w:rsid w:val="00BC4EA7"/>
    <w:rsid w:val="00BC5255"/>
    <w:rsid w:val="00BC5604"/>
    <w:rsid w:val="00BC5BA9"/>
    <w:rsid w:val="00BC5C22"/>
    <w:rsid w:val="00BC62E4"/>
    <w:rsid w:val="00BC7512"/>
    <w:rsid w:val="00BD0005"/>
    <w:rsid w:val="00BD0205"/>
    <w:rsid w:val="00BD0277"/>
    <w:rsid w:val="00BD0B26"/>
    <w:rsid w:val="00BD1C5C"/>
    <w:rsid w:val="00BD1D21"/>
    <w:rsid w:val="00BD1D22"/>
    <w:rsid w:val="00BD1FBE"/>
    <w:rsid w:val="00BD21BF"/>
    <w:rsid w:val="00BD2472"/>
    <w:rsid w:val="00BD2B1D"/>
    <w:rsid w:val="00BD3400"/>
    <w:rsid w:val="00BD565D"/>
    <w:rsid w:val="00BD56CA"/>
    <w:rsid w:val="00BD5AFC"/>
    <w:rsid w:val="00BD6862"/>
    <w:rsid w:val="00BD6BDD"/>
    <w:rsid w:val="00BD6EB8"/>
    <w:rsid w:val="00BD7A0B"/>
    <w:rsid w:val="00BE0337"/>
    <w:rsid w:val="00BE0469"/>
    <w:rsid w:val="00BE057C"/>
    <w:rsid w:val="00BE0AC0"/>
    <w:rsid w:val="00BE0B2B"/>
    <w:rsid w:val="00BE0EDB"/>
    <w:rsid w:val="00BE14A3"/>
    <w:rsid w:val="00BE1981"/>
    <w:rsid w:val="00BE1B12"/>
    <w:rsid w:val="00BE1C42"/>
    <w:rsid w:val="00BE3763"/>
    <w:rsid w:val="00BE3B45"/>
    <w:rsid w:val="00BE410A"/>
    <w:rsid w:val="00BE48F4"/>
    <w:rsid w:val="00BE4918"/>
    <w:rsid w:val="00BE4FF1"/>
    <w:rsid w:val="00BE5029"/>
    <w:rsid w:val="00BE5533"/>
    <w:rsid w:val="00BE5D48"/>
    <w:rsid w:val="00BE624C"/>
    <w:rsid w:val="00BE62C0"/>
    <w:rsid w:val="00BE6ABE"/>
    <w:rsid w:val="00BE7539"/>
    <w:rsid w:val="00BE7580"/>
    <w:rsid w:val="00BE7674"/>
    <w:rsid w:val="00BE76F6"/>
    <w:rsid w:val="00BE7C62"/>
    <w:rsid w:val="00BF020C"/>
    <w:rsid w:val="00BF02AF"/>
    <w:rsid w:val="00BF0657"/>
    <w:rsid w:val="00BF0A60"/>
    <w:rsid w:val="00BF1738"/>
    <w:rsid w:val="00BF17D8"/>
    <w:rsid w:val="00BF1ADD"/>
    <w:rsid w:val="00BF1B19"/>
    <w:rsid w:val="00BF1B65"/>
    <w:rsid w:val="00BF211F"/>
    <w:rsid w:val="00BF24D3"/>
    <w:rsid w:val="00BF2D3E"/>
    <w:rsid w:val="00BF3396"/>
    <w:rsid w:val="00BF36E3"/>
    <w:rsid w:val="00BF3D05"/>
    <w:rsid w:val="00BF43B8"/>
    <w:rsid w:val="00BF4B57"/>
    <w:rsid w:val="00BF5202"/>
    <w:rsid w:val="00BF563F"/>
    <w:rsid w:val="00BF5A4C"/>
    <w:rsid w:val="00BF625F"/>
    <w:rsid w:val="00BF66C0"/>
    <w:rsid w:val="00BF67E2"/>
    <w:rsid w:val="00BF70D8"/>
    <w:rsid w:val="00BF7ABD"/>
    <w:rsid w:val="00BF7AE4"/>
    <w:rsid w:val="00C0050A"/>
    <w:rsid w:val="00C00723"/>
    <w:rsid w:val="00C00DB9"/>
    <w:rsid w:val="00C00DDB"/>
    <w:rsid w:val="00C00E58"/>
    <w:rsid w:val="00C00EB5"/>
    <w:rsid w:val="00C0134D"/>
    <w:rsid w:val="00C017E8"/>
    <w:rsid w:val="00C01C5A"/>
    <w:rsid w:val="00C02099"/>
    <w:rsid w:val="00C021C3"/>
    <w:rsid w:val="00C02D9A"/>
    <w:rsid w:val="00C02DF7"/>
    <w:rsid w:val="00C030F9"/>
    <w:rsid w:val="00C031DD"/>
    <w:rsid w:val="00C032D1"/>
    <w:rsid w:val="00C04907"/>
    <w:rsid w:val="00C04A3C"/>
    <w:rsid w:val="00C05766"/>
    <w:rsid w:val="00C05D51"/>
    <w:rsid w:val="00C06223"/>
    <w:rsid w:val="00C0687E"/>
    <w:rsid w:val="00C0721C"/>
    <w:rsid w:val="00C0746C"/>
    <w:rsid w:val="00C0778E"/>
    <w:rsid w:val="00C07E0E"/>
    <w:rsid w:val="00C07ED5"/>
    <w:rsid w:val="00C1029C"/>
    <w:rsid w:val="00C10674"/>
    <w:rsid w:val="00C106CA"/>
    <w:rsid w:val="00C107B8"/>
    <w:rsid w:val="00C10D3B"/>
    <w:rsid w:val="00C11439"/>
    <w:rsid w:val="00C11499"/>
    <w:rsid w:val="00C1285B"/>
    <w:rsid w:val="00C129F5"/>
    <w:rsid w:val="00C12B34"/>
    <w:rsid w:val="00C12F0A"/>
    <w:rsid w:val="00C13509"/>
    <w:rsid w:val="00C14861"/>
    <w:rsid w:val="00C14B35"/>
    <w:rsid w:val="00C15875"/>
    <w:rsid w:val="00C158DB"/>
    <w:rsid w:val="00C15993"/>
    <w:rsid w:val="00C16687"/>
    <w:rsid w:val="00C166D8"/>
    <w:rsid w:val="00C16C0F"/>
    <w:rsid w:val="00C172E9"/>
    <w:rsid w:val="00C20322"/>
    <w:rsid w:val="00C20379"/>
    <w:rsid w:val="00C20692"/>
    <w:rsid w:val="00C20829"/>
    <w:rsid w:val="00C20C74"/>
    <w:rsid w:val="00C20D55"/>
    <w:rsid w:val="00C2140A"/>
    <w:rsid w:val="00C21BE2"/>
    <w:rsid w:val="00C21EEF"/>
    <w:rsid w:val="00C2269D"/>
    <w:rsid w:val="00C2272C"/>
    <w:rsid w:val="00C229EF"/>
    <w:rsid w:val="00C22F81"/>
    <w:rsid w:val="00C2300A"/>
    <w:rsid w:val="00C230CA"/>
    <w:rsid w:val="00C234EA"/>
    <w:rsid w:val="00C23CA5"/>
    <w:rsid w:val="00C240F7"/>
    <w:rsid w:val="00C24416"/>
    <w:rsid w:val="00C249A6"/>
    <w:rsid w:val="00C25231"/>
    <w:rsid w:val="00C256A0"/>
    <w:rsid w:val="00C25839"/>
    <w:rsid w:val="00C258C3"/>
    <w:rsid w:val="00C25AC1"/>
    <w:rsid w:val="00C25D4F"/>
    <w:rsid w:val="00C25FED"/>
    <w:rsid w:val="00C26724"/>
    <w:rsid w:val="00C26DAE"/>
    <w:rsid w:val="00C27FFB"/>
    <w:rsid w:val="00C300CE"/>
    <w:rsid w:val="00C306A6"/>
    <w:rsid w:val="00C30A7D"/>
    <w:rsid w:val="00C31137"/>
    <w:rsid w:val="00C3156A"/>
    <w:rsid w:val="00C31594"/>
    <w:rsid w:val="00C31627"/>
    <w:rsid w:val="00C31B40"/>
    <w:rsid w:val="00C32CA1"/>
    <w:rsid w:val="00C32FF9"/>
    <w:rsid w:val="00C336A4"/>
    <w:rsid w:val="00C33842"/>
    <w:rsid w:val="00C34094"/>
    <w:rsid w:val="00C345A7"/>
    <w:rsid w:val="00C34B00"/>
    <w:rsid w:val="00C34CF7"/>
    <w:rsid w:val="00C34D8F"/>
    <w:rsid w:val="00C34F3A"/>
    <w:rsid w:val="00C351A6"/>
    <w:rsid w:val="00C354AC"/>
    <w:rsid w:val="00C35FB5"/>
    <w:rsid w:val="00C3601D"/>
    <w:rsid w:val="00C37244"/>
    <w:rsid w:val="00C3733C"/>
    <w:rsid w:val="00C3736A"/>
    <w:rsid w:val="00C37A31"/>
    <w:rsid w:val="00C37DF1"/>
    <w:rsid w:val="00C40088"/>
    <w:rsid w:val="00C40CEF"/>
    <w:rsid w:val="00C41176"/>
    <w:rsid w:val="00C42450"/>
    <w:rsid w:val="00C42CB8"/>
    <w:rsid w:val="00C4332D"/>
    <w:rsid w:val="00C43945"/>
    <w:rsid w:val="00C43D10"/>
    <w:rsid w:val="00C4458E"/>
    <w:rsid w:val="00C44681"/>
    <w:rsid w:val="00C44888"/>
    <w:rsid w:val="00C44DB5"/>
    <w:rsid w:val="00C44E03"/>
    <w:rsid w:val="00C450EF"/>
    <w:rsid w:val="00C4520C"/>
    <w:rsid w:val="00C45A65"/>
    <w:rsid w:val="00C4685B"/>
    <w:rsid w:val="00C4691C"/>
    <w:rsid w:val="00C47356"/>
    <w:rsid w:val="00C473C6"/>
    <w:rsid w:val="00C47575"/>
    <w:rsid w:val="00C47809"/>
    <w:rsid w:val="00C47A4F"/>
    <w:rsid w:val="00C47B5B"/>
    <w:rsid w:val="00C47C42"/>
    <w:rsid w:val="00C47CFD"/>
    <w:rsid w:val="00C50201"/>
    <w:rsid w:val="00C50225"/>
    <w:rsid w:val="00C5040A"/>
    <w:rsid w:val="00C5059B"/>
    <w:rsid w:val="00C50772"/>
    <w:rsid w:val="00C513CB"/>
    <w:rsid w:val="00C52570"/>
    <w:rsid w:val="00C52AB5"/>
    <w:rsid w:val="00C52BDB"/>
    <w:rsid w:val="00C5312E"/>
    <w:rsid w:val="00C531A7"/>
    <w:rsid w:val="00C531F7"/>
    <w:rsid w:val="00C53566"/>
    <w:rsid w:val="00C5368B"/>
    <w:rsid w:val="00C537CF"/>
    <w:rsid w:val="00C537D5"/>
    <w:rsid w:val="00C54815"/>
    <w:rsid w:val="00C548F3"/>
    <w:rsid w:val="00C54C71"/>
    <w:rsid w:val="00C54DD7"/>
    <w:rsid w:val="00C54FF3"/>
    <w:rsid w:val="00C55AA3"/>
    <w:rsid w:val="00C571E3"/>
    <w:rsid w:val="00C5736B"/>
    <w:rsid w:val="00C578FD"/>
    <w:rsid w:val="00C57C4F"/>
    <w:rsid w:val="00C57F91"/>
    <w:rsid w:val="00C57F9A"/>
    <w:rsid w:val="00C60174"/>
    <w:rsid w:val="00C603DE"/>
    <w:rsid w:val="00C60A49"/>
    <w:rsid w:val="00C60B3A"/>
    <w:rsid w:val="00C60BE7"/>
    <w:rsid w:val="00C60DEF"/>
    <w:rsid w:val="00C611DE"/>
    <w:rsid w:val="00C6187D"/>
    <w:rsid w:val="00C61C51"/>
    <w:rsid w:val="00C61F44"/>
    <w:rsid w:val="00C62152"/>
    <w:rsid w:val="00C621C3"/>
    <w:rsid w:val="00C626D9"/>
    <w:rsid w:val="00C6276A"/>
    <w:rsid w:val="00C62B6F"/>
    <w:rsid w:val="00C63963"/>
    <w:rsid w:val="00C6414A"/>
    <w:rsid w:val="00C643F8"/>
    <w:rsid w:val="00C64AFC"/>
    <w:rsid w:val="00C64B53"/>
    <w:rsid w:val="00C64DA0"/>
    <w:rsid w:val="00C64EBB"/>
    <w:rsid w:val="00C64F1A"/>
    <w:rsid w:val="00C64FF3"/>
    <w:rsid w:val="00C65AB4"/>
    <w:rsid w:val="00C664E7"/>
    <w:rsid w:val="00C66CF2"/>
    <w:rsid w:val="00C67A09"/>
    <w:rsid w:val="00C67C0B"/>
    <w:rsid w:val="00C726EC"/>
    <w:rsid w:val="00C72735"/>
    <w:rsid w:val="00C728A0"/>
    <w:rsid w:val="00C7312B"/>
    <w:rsid w:val="00C7361C"/>
    <w:rsid w:val="00C73A01"/>
    <w:rsid w:val="00C73CEE"/>
    <w:rsid w:val="00C74145"/>
    <w:rsid w:val="00C7461F"/>
    <w:rsid w:val="00C7478F"/>
    <w:rsid w:val="00C74803"/>
    <w:rsid w:val="00C74E56"/>
    <w:rsid w:val="00C750AB"/>
    <w:rsid w:val="00C7521F"/>
    <w:rsid w:val="00C75667"/>
    <w:rsid w:val="00C757E3"/>
    <w:rsid w:val="00C75A18"/>
    <w:rsid w:val="00C761DE"/>
    <w:rsid w:val="00C7635E"/>
    <w:rsid w:val="00C76C55"/>
    <w:rsid w:val="00C76F2B"/>
    <w:rsid w:val="00C77E57"/>
    <w:rsid w:val="00C801C5"/>
    <w:rsid w:val="00C802FC"/>
    <w:rsid w:val="00C805B4"/>
    <w:rsid w:val="00C80D28"/>
    <w:rsid w:val="00C80F94"/>
    <w:rsid w:val="00C811C6"/>
    <w:rsid w:val="00C8165D"/>
    <w:rsid w:val="00C81925"/>
    <w:rsid w:val="00C81CC9"/>
    <w:rsid w:val="00C8280F"/>
    <w:rsid w:val="00C8339E"/>
    <w:rsid w:val="00C834E4"/>
    <w:rsid w:val="00C83931"/>
    <w:rsid w:val="00C83DB8"/>
    <w:rsid w:val="00C83FE4"/>
    <w:rsid w:val="00C8455C"/>
    <w:rsid w:val="00C84957"/>
    <w:rsid w:val="00C851B8"/>
    <w:rsid w:val="00C85353"/>
    <w:rsid w:val="00C856D2"/>
    <w:rsid w:val="00C85857"/>
    <w:rsid w:val="00C860B9"/>
    <w:rsid w:val="00C8628C"/>
    <w:rsid w:val="00C8629D"/>
    <w:rsid w:val="00C86B83"/>
    <w:rsid w:val="00C86E43"/>
    <w:rsid w:val="00C871E3"/>
    <w:rsid w:val="00C87589"/>
    <w:rsid w:val="00C878E1"/>
    <w:rsid w:val="00C87CC1"/>
    <w:rsid w:val="00C87D0E"/>
    <w:rsid w:val="00C902F9"/>
    <w:rsid w:val="00C9036A"/>
    <w:rsid w:val="00C91136"/>
    <w:rsid w:val="00C91808"/>
    <w:rsid w:val="00C91B87"/>
    <w:rsid w:val="00C9297B"/>
    <w:rsid w:val="00C92BD6"/>
    <w:rsid w:val="00C92F34"/>
    <w:rsid w:val="00C93B2C"/>
    <w:rsid w:val="00C93EB8"/>
    <w:rsid w:val="00C94196"/>
    <w:rsid w:val="00C943F2"/>
    <w:rsid w:val="00C9482E"/>
    <w:rsid w:val="00C94A78"/>
    <w:rsid w:val="00C9513B"/>
    <w:rsid w:val="00C95249"/>
    <w:rsid w:val="00C95591"/>
    <w:rsid w:val="00C958DC"/>
    <w:rsid w:val="00C96BCC"/>
    <w:rsid w:val="00C96E93"/>
    <w:rsid w:val="00C97B95"/>
    <w:rsid w:val="00C97C6A"/>
    <w:rsid w:val="00CA0325"/>
    <w:rsid w:val="00CA07A6"/>
    <w:rsid w:val="00CA08CF"/>
    <w:rsid w:val="00CA0999"/>
    <w:rsid w:val="00CA0C70"/>
    <w:rsid w:val="00CA15CC"/>
    <w:rsid w:val="00CA1DE1"/>
    <w:rsid w:val="00CA2578"/>
    <w:rsid w:val="00CA2675"/>
    <w:rsid w:val="00CA330E"/>
    <w:rsid w:val="00CA350B"/>
    <w:rsid w:val="00CA44C4"/>
    <w:rsid w:val="00CA4A51"/>
    <w:rsid w:val="00CA4CF9"/>
    <w:rsid w:val="00CA4F2C"/>
    <w:rsid w:val="00CA4F9F"/>
    <w:rsid w:val="00CA51C1"/>
    <w:rsid w:val="00CA5881"/>
    <w:rsid w:val="00CA5B95"/>
    <w:rsid w:val="00CA6284"/>
    <w:rsid w:val="00CA6B2D"/>
    <w:rsid w:val="00CA6B38"/>
    <w:rsid w:val="00CA70D4"/>
    <w:rsid w:val="00CA79D8"/>
    <w:rsid w:val="00CA7EB1"/>
    <w:rsid w:val="00CB0176"/>
    <w:rsid w:val="00CB049C"/>
    <w:rsid w:val="00CB0C34"/>
    <w:rsid w:val="00CB126B"/>
    <w:rsid w:val="00CB2947"/>
    <w:rsid w:val="00CB3622"/>
    <w:rsid w:val="00CB3A39"/>
    <w:rsid w:val="00CB43AB"/>
    <w:rsid w:val="00CB47D5"/>
    <w:rsid w:val="00CB5F95"/>
    <w:rsid w:val="00CB6114"/>
    <w:rsid w:val="00CB6431"/>
    <w:rsid w:val="00CB7225"/>
    <w:rsid w:val="00CB7944"/>
    <w:rsid w:val="00CB7AFD"/>
    <w:rsid w:val="00CC05B3"/>
    <w:rsid w:val="00CC0E69"/>
    <w:rsid w:val="00CC0EAC"/>
    <w:rsid w:val="00CC12B5"/>
    <w:rsid w:val="00CC1361"/>
    <w:rsid w:val="00CC1E9E"/>
    <w:rsid w:val="00CC1FF0"/>
    <w:rsid w:val="00CC23D7"/>
    <w:rsid w:val="00CC2CA5"/>
    <w:rsid w:val="00CC2EDD"/>
    <w:rsid w:val="00CC310E"/>
    <w:rsid w:val="00CC314D"/>
    <w:rsid w:val="00CC318D"/>
    <w:rsid w:val="00CC31E4"/>
    <w:rsid w:val="00CC35B8"/>
    <w:rsid w:val="00CC3A21"/>
    <w:rsid w:val="00CC4000"/>
    <w:rsid w:val="00CC42FA"/>
    <w:rsid w:val="00CC485D"/>
    <w:rsid w:val="00CC4D04"/>
    <w:rsid w:val="00CC4D36"/>
    <w:rsid w:val="00CC4DB3"/>
    <w:rsid w:val="00CC566F"/>
    <w:rsid w:val="00CC58CC"/>
    <w:rsid w:val="00CC5B08"/>
    <w:rsid w:val="00CC62A5"/>
    <w:rsid w:val="00CC67EA"/>
    <w:rsid w:val="00CC6855"/>
    <w:rsid w:val="00CC7152"/>
    <w:rsid w:val="00CC7815"/>
    <w:rsid w:val="00CC78D3"/>
    <w:rsid w:val="00CC7A01"/>
    <w:rsid w:val="00CC7B1A"/>
    <w:rsid w:val="00CC7BEE"/>
    <w:rsid w:val="00CC7BF4"/>
    <w:rsid w:val="00CC7D9B"/>
    <w:rsid w:val="00CD02DE"/>
    <w:rsid w:val="00CD07E6"/>
    <w:rsid w:val="00CD1176"/>
    <w:rsid w:val="00CD1C23"/>
    <w:rsid w:val="00CD1D0B"/>
    <w:rsid w:val="00CD1F3A"/>
    <w:rsid w:val="00CD2360"/>
    <w:rsid w:val="00CD2793"/>
    <w:rsid w:val="00CD2BFF"/>
    <w:rsid w:val="00CD2CF3"/>
    <w:rsid w:val="00CD3235"/>
    <w:rsid w:val="00CD325D"/>
    <w:rsid w:val="00CD354B"/>
    <w:rsid w:val="00CD365D"/>
    <w:rsid w:val="00CD4169"/>
    <w:rsid w:val="00CD46DE"/>
    <w:rsid w:val="00CD4DE5"/>
    <w:rsid w:val="00CD4F42"/>
    <w:rsid w:val="00CD5CB5"/>
    <w:rsid w:val="00CD6215"/>
    <w:rsid w:val="00CD64E0"/>
    <w:rsid w:val="00CD64F5"/>
    <w:rsid w:val="00CD6701"/>
    <w:rsid w:val="00CD67F9"/>
    <w:rsid w:val="00CD700A"/>
    <w:rsid w:val="00CD7139"/>
    <w:rsid w:val="00CD71B7"/>
    <w:rsid w:val="00CD7279"/>
    <w:rsid w:val="00CD758F"/>
    <w:rsid w:val="00CE06BA"/>
    <w:rsid w:val="00CE173B"/>
    <w:rsid w:val="00CE1D40"/>
    <w:rsid w:val="00CE21D4"/>
    <w:rsid w:val="00CE2ABE"/>
    <w:rsid w:val="00CE2DD5"/>
    <w:rsid w:val="00CE3385"/>
    <w:rsid w:val="00CE3713"/>
    <w:rsid w:val="00CE37C9"/>
    <w:rsid w:val="00CE3991"/>
    <w:rsid w:val="00CE3D4F"/>
    <w:rsid w:val="00CE3F5B"/>
    <w:rsid w:val="00CE49A4"/>
    <w:rsid w:val="00CE574A"/>
    <w:rsid w:val="00CE5C6F"/>
    <w:rsid w:val="00CE5EAC"/>
    <w:rsid w:val="00CE5FBA"/>
    <w:rsid w:val="00CE6410"/>
    <w:rsid w:val="00CE64BC"/>
    <w:rsid w:val="00CE6C0C"/>
    <w:rsid w:val="00CE7089"/>
    <w:rsid w:val="00CE738F"/>
    <w:rsid w:val="00CE757B"/>
    <w:rsid w:val="00CE76B6"/>
    <w:rsid w:val="00CE7E0C"/>
    <w:rsid w:val="00CE7EAD"/>
    <w:rsid w:val="00CE7EF0"/>
    <w:rsid w:val="00CF0613"/>
    <w:rsid w:val="00CF0818"/>
    <w:rsid w:val="00CF0E18"/>
    <w:rsid w:val="00CF166B"/>
    <w:rsid w:val="00CF1824"/>
    <w:rsid w:val="00CF19A0"/>
    <w:rsid w:val="00CF1C60"/>
    <w:rsid w:val="00CF1CE8"/>
    <w:rsid w:val="00CF2B5D"/>
    <w:rsid w:val="00CF3880"/>
    <w:rsid w:val="00CF3FE1"/>
    <w:rsid w:val="00CF43EC"/>
    <w:rsid w:val="00CF4401"/>
    <w:rsid w:val="00CF4607"/>
    <w:rsid w:val="00CF5609"/>
    <w:rsid w:val="00CF5A99"/>
    <w:rsid w:val="00CF5AF4"/>
    <w:rsid w:val="00CF64B3"/>
    <w:rsid w:val="00CF66A4"/>
    <w:rsid w:val="00CF6835"/>
    <w:rsid w:val="00CF6ABD"/>
    <w:rsid w:val="00CF7A9D"/>
    <w:rsid w:val="00CF7BA1"/>
    <w:rsid w:val="00CF7D9A"/>
    <w:rsid w:val="00CF7EA0"/>
    <w:rsid w:val="00D000D2"/>
    <w:rsid w:val="00D00484"/>
    <w:rsid w:val="00D0058F"/>
    <w:rsid w:val="00D0075A"/>
    <w:rsid w:val="00D016F3"/>
    <w:rsid w:val="00D0179B"/>
    <w:rsid w:val="00D023FD"/>
    <w:rsid w:val="00D02A63"/>
    <w:rsid w:val="00D02B1C"/>
    <w:rsid w:val="00D02C14"/>
    <w:rsid w:val="00D02CA0"/>
    <w:rsid w:val="00D02D5C"/>
    <w:rsid w:val="00D02DB0"/>
    <w:rsid w:val="00D032FF"/>
    <w:rsid w:val="00D03A5A"/>
    <w:rsid w:val="00D03C22"/>
    <w:rsid w:val="00D03EB1"/>
    <w:rsid w:val="00D03F04"/>
    <w:rsid w:val="00D03F74"/>
    <w:rsid w:val="00D04A53"/>
    <w:rsid w:val="00D04B7F"/>
    <w:rsid w:val="00D0525B"/>
    <w:rsid w:val="00D05883"/>
    <w:rsid w:val="00D05A31"/>
    <w:rsid w:val="00D05F78"/>
    <w:rsid w:val="00D060F9"/>
    <w:rsid w:val="00D06ED8"/>
    <w:rsid w:val="00D07377"/>
    <w:rsid w:val="00D07413"/>
    <w:rsid w:val="00D107B5"/>
    <w:rsid w:val="00D10E95"/>
    <w:rsid w:val="00D10E9E"/>
    <w:rsid w:val="00D10EAE"/>
    <w:rsid w:val="00D12081"/>
    <w:rsid w:val="00D121D5"/>
    <w:rsid w:val="00D1275A"/>
    <w:rsid w:val="00D127F2"/>
    <w:rsid w:val="00D13248"/>
    <w:rsid w:val="00D136F4"/>
    <w:rsid w:val="00D136FF"/>
    <w:rsid w:val="00D13933"/>
    <w:rsid w:val="00D13BBB"/>
    <w:rsid w:val="00D13E38"/>
    <w:rsid w:val="00D13E94"/>
    <w:rsid w:val="00D14260"/>
    <w:rsid w:val="00D145B0"/>
    <w:rsid w:val="00D14B2E"/>
    <w:rsid w:val="00D14B63"/>
    <w:rsid w:val="00D152E4"/>
    <w:rsid w:val="00D15835"/>
    <w:rsid w:val="00D15D3E"/>
    <w:rsid w:val="00D16256"/>
    <w:rsid w:val="00D1626F"/>
    <w:rsid w:val="00D163F4"/>
    <w:rsid w:val="00D16611"/>
    <w:rsid w:val="00D16754"/>
    <w:rsid w:val="00D16764"/>
    <w:rsid w:val="00D16B64"/>
    <w:rsid w:val="00D16BF7"/>
    <w:rsid w:val="00D16C93"/>
    <w:rsid w:val="00D17312"/>
    <w:rsid w:val="00D2000A"/>
    <w:rsid w:val="00D200CE"/>
    <w:rsid w:val="00D20179"/>
    <w:rsid w:val="00D20D14"/>
    <w:rsid w:val="00D21C93"/>
    <w:rsid w:val="00D21D83"/>
    <w:rsid w:val="00D21E79"/>
    <w:rsid w:val="00D21FBD"/>
    <w:rsid w:val="00D221F7"/>
    <w:rsid w:val="00D2241B"/>
    <w:rsid w:val="00D229A6"/>
    <w:rsid w:val="00D22BA5"/>
    <w:rsid w:val="00D234E6"/>
    <w:rsid w:val="00D2364E"/>
    <w:rsid w:val="00D2370D"/>
    <w:rsid w:val="00D23FBA"/>
    <w:rsid w:val="00D24A94"/>
    <w:rsid w:val="00D24E2F"/>
    <w:rsid w:val="00D24FF3"/>
    <w:rsid w:val="00D26289"/>
    <w:rsid w:val="00D268E0"/>
    <w:rsid w:val="00D26B46"/>
    <w:rsid w:val="00D26E5B"/>
    <w:rsid w:val="00D279F8"/>
    <w:rsid w:val="00D30534"/>
    <w:rsid w:val="00D307D1"/>
    <w:rsid w:val="00D30F74"/>
    <w:rsid w:val="00D31BC9"/>
    <w:rsid w:val="00D31D9E"/>
    <w:rsid w:val="00D31F55"/>
    <w:rsid w:val="00D321EA"/>
    <w:rsid w:val="00D328EE"/>
    <w:rsid w:val="00D328EF"/>
    <w:rsid w:val="00D32ACB"/>
    <w:rsid w:val="00D331A1"/>
    <w:rsid w:val="00D337BF"/>
    <w:rsid w:val="00D33D4E"/>
    <w:rsid w:val="00D33DCE"/>
    <w:rsid w:val="00D3449D"/>
    <w:rsid w:val="00D3477A"/>
    <w:rsid w:val="00D34B16"/>
    <w:rsid w:val="00D34FEC"/>
    <w:rsid w:val="00D35456"/>
    <w:rsid w:val="00D35611"/>
    <w:rsid w:val="00D35BE1"/>
    <w:rsid w:val="00D363DD"/>
    <w:rsid w:val="00D36BE4"/>
    <w:rsid w:val="00D3770B"/>
    <w:rsid w:val="00D40378"/>
    <w:rsid w:val="00D4064E"/>
    <w:rsid w:val="00D40773"/>
    <w:rsid w:val="00D409BE"/>
    <w:rsid w:val="00D40AF2"/>
    <w:rsid w:val="00D40B30"/>
    <w:rsid w:val="00D40D4E"/>
    <w:rsid w:val="00D40EEF"/>
    <w:rsid w:val="00D414B9"/>
    <w:rsid w:val="00D41501"/>
    <w:rsid w:val="00D419BA"/>
    <w:rsid w:val="00D41BF1"/>
    <w:rsid w:val="00D4298B"/>
    <w:rsid w:val="00D42A32"/>
    <w:rsid w:val="00D435D7"/>
    <w:rsid w:val="00D43BAE"/>
    <w:rsid w:val="00D441E4"/>
    <w:rsid w:val="00D44500"/>
    <w:rsid w:val="00D44A86"/>
    <w:rsid w:val="00D4609B"/>
    <w:rsid w:val="00D46C3D"/>
    <w:rsid w:val="00D46F30"/>
    <w:rsid w:val="00D4730E"/>
    <w:rsid w:val="00D475C9"/>
    <w:rsid w:val="00D47B60"/>
    <w:rsid w:val="00D47F0F"/>
    <w:rsid w:val="00D5080E"/>
    <w:rsid w:val="00D50D57"/>
    <w:rsid w:val="00D50EC1"/>
    <w:rsid w:val="00D50FC6"/>
    <w:rsid w:val="00D511FF"/>
    <w:rsid w:val="00D51967"/>
    <w:rsid w:val="00D51CCE"/>
    <w:rsid w:val="00D52A26"/>
    <w:rsid w:val="00D531F4"/>
    <w:rsid w:val="00D5394D"/>
    <w:rsid w:val="00D539A8"/>
    <w:rsid w:val="00D53F01"/>
    <w:rsid w:val="00D54346"/>
    <w:rsid w:val="00D55414"/>
    <w:rsid w:val="00D55488"/>
    <w:rsid w:val="00D554FD"/>
    <w:rsid w:val="00D55D6F"/>
    <w:rsid w:val="00D566DD"/>
    <w:rsid w:val="00D56F71"/>
    <w:rsid w:val="00D60421"/>
    <w:rsid w:val="00D60C7C"/>
    <w:rsid w:val="00D60F9B"/>
    <w:rsid w:val="00D612CA"/>
    <w:rsid w:val="00D61933"/>
    <w:rsid w:val="00D61A0E"/>
    <w:rsid w:val="00D61BBF"/>
    <w:rsid w:val="00D61C0B"/>
    <w:rsid w:val="00D61C3D"/>
    <w:rsid w:val="00D626DA"/>
    <w:rsid w:val="00D6274A"/>
    <w:rsid w:val="00D62F82"/>
    <w:rsid w:val="00D6366A"/>
    <w:rsid w:val="00D636F0"/>
    <w:rsid w:val="00D6376E"/>
    <w:rsid w:val="00D6380E"/>
    <w:rsid w:val="00D63ACC"/>
    <w:rsid w:val="00D63BF4"/>
    <w:rsid w:val="00D64126"/>
    <w:rsid w:val="00D6438C"/>
    <w:rsid w:val="00D6442A"/>
    <w:rsid w:val="00D650DB"/>
    <w:rsid w:val="00D652E5"/>
    <w:rsid w:val="00D6563D"/>
    <w:rsid w:val="00D65748"/>
    <w:rsid w:val="00D6593B"/>
    <w:rsid w:val="00D65A0C"/>
    <w:rsid w:val="00D662A2"/>
    <w:rsid w:val="00D6685A"/>
    <w:rsid w:val="00D66C4C"/>
    <w:rsid w:val="00D66C8A"/>
    <w:rsid w:val="00D66EA8"/>
    <w:rsid w:val="00D67105"/>
    <w:rsid w:val="00D672FF"/>
    <w:rsid w:val="00D67738"/>
    <w:rsid w:val="00D678A2"/>
    <w:rsid w:val="00D7042D"/>
    <w:rsid w:val="00D71100"/>
    <w:rsid w:val="00D726B0"/>
    <w:rsid w:val="00D72863"/>
    <w:rsid w:val="00D728E9"/>
    <w:rsid w:val="00D72A3D"/>
    <w:rsid w:val="00D72A8F"/>
    <w:rsid w:val="00D72F14"/>
    <w:rsid w:val="00D73823"/>
    <w:rsid w:val="00D73C42"/>
    <w:rsid w:val="00D73F1B"/>
    <w:rsid w:val="00D73F76"/>
    <w:rsid w:val="00D749E5"/>
    <w:rsid w:val="00D7521F"/>
    <w:rsid w:val="00D75256"/>
    <w:rsid w:val="00D75329"/>
    <w:rsid w:val="00D75694"/>
    <w:rsid w:val="00D7585A"/>
    <w:rsid w:val="00D7597E"/>
    <w:rsid w:val="00D7707F"/>
    <w:rsid w:val="00D77104"/>
    <w:rsid w:val="00D77415"/>
    <w:rsid w:val="00D774E3"/>
    <w:rsid w:val="00D774FC"/>
    <w:rsid w:val="00D7761F"/>
    <w:rsid w:val="00D7780C"/>
    <w:rsid w:val="00D77BDF"/>
    <w:rsid w:val="00D80360"/>
    <w:rsid w:val="00D80E3F"/>
    <w:rsid w:val="00D813DB"/>
    <w:rsid w:val="00D814B6"/>
    <w:rsid w:val="00D8159C"/>
    <w:rsid w:val="00D81960"/>
    <w:rsid w:val="00D81F21"/>
    <w:rsid w:val="00D81F71"/>
    <w:rsid w:val="00D8217D"/>
    <w:rsid w:val="00D82DA9"/>
    <w:rsid w:val="00D836FB"/>
    <w:rsid w:val="00D83711"/>
    <w:rsid w:val="00D8394C"/>
    <w:rsid w:val="00D83CD4"/>
    <w:rsid w:val="00D84193"/>
    <w:rsid w:val="00D843F9"/>
    <w:rsid w:val="00D8459B"/>
    <w:rsid w:val="00D8535E"/>
    <w:rsid w:val="00D8546A"/>
    <w:rsid w:val="00D85786"/>
    <w:rsid w:val="00D85BD3"/>
    <w:rsid w:val="00D861C4"/>
    <w:rsid w:val="00D86F61"/>
    <w:rsid w:val="00D87070"/>
    <w:rsid w:val="00D8707F"/>
    <w:rsid w:val="00D874DB"/>
    <w:rsid w:val="00D903B1"/>
    <w:rsid w:val="00D9098A"/>
    <w:rsid w:val="00D90B75"/>
    <w:rsid w:val="00D9180D"/>
    <w:rsid w:val="00D927EA"/>
    <w:rsid w:val="00D92A87"/>
    <w:rsid w:val="00D92AE6"/>
    <w:rsid w:val="00D92C40"/>
    <w:rsid w:val="00D92DA3"/>
    <w:rsid w:val="00D92DBC"/>
    <w:rsid w:val="00D9376C"/>
    <w:rsid w:val="00D943A1"/>
    <w:rsid w:val="00D94B2D"/>
    <w:rsid w:val="00D953F5"/>
    <w:rsid w:val="00D954DF"/>
    <w:rsid w:val="00D96389"/>
    <w:rsid w:val="00D96B52"/>
    <w:rsid w:val="00D972B5"/>
    <w:rsid w:val="00D974AF"/>
    <w:rsid w:val="00DA0278"/>
    <w:rsid w:val="00DA070D"/>
    <w:rsid w:val="00DA0E9F"/>
    <w:rsid w:val="00DA0F3F"/>
    <w:rsid w:val="00DA11CC"/>
    <w:rsid w:val="00DA1583"/>
    <w:rsid w:val="00DA1B77"/>
    <w:rsid w:val="00DA220E"/>
    <w:rsid w:val="00DA2AB9"/>
    <w:rsid w:val="00DA2B94"/>
    <w:rsid w:val="00DA2DDE"/>
    <w:rsid w:val="00DA3061"/>
    <w:rsid w:val="00DA30C9"/>
    <w:rsid w:val="00DA34D8"/>
    <w:rsid w:val="00DA38DE"/>
    <w:rsid w:val="00DA4179"/>
    <w:rsid w:val="00DA4333"/>
    <w:rsid w:val="00DA4A48"/>
    <w:rsid w:val="00DA4F70"/>
    <w:rsid w:val="00DA5502"/>
    <w:rsid w:val="00DA565D"/>
    <w:rsid w:val="00DA5B6D"/>
    <w:rsid w:val="00DA61B2"/>
    <w:rsid w:val="00DA61CD"/>
    <w:rsid w:val="00DA62A8"/>
    <w:rsid w:val="00DA63EA"/>
    <w:rsid w:val="00DA6F2C"/>
    <w:rsid w:val="00DB029B"/>
    <w:rsid w:val="00DB11BE"/>
    <w:rsid w:val="00DB12FA"/>
    <w:rsid w:val="00DB292B"/>
    <w:rsid w:val="00DB2A2F"/>
    <w:rsid w:val="00DB2B2D"/>
    <w:rsid w:val="00DB2B60"/>
    <w:rsid w:val="00DB2BA1"/>
    <w:rsid w:val="00DB2C16"/>
    <w:rsid w:val="00DB2D9D"/>
    <w:rsid w:val="00DB3B91"/>
    <w:rsid w:val="00DB3BD4"/>
    <w:rsid w:val="00DB3BED"/>
    <w:rsid w:val="00DB3DA9"/>
    <w:rsid w:val="00DB4A3C"/>
    <w:rsid w:val="00DB4C73"/>
    <w:rsid w:val="00DB4CE8"/>
    <w:rsid w:val="00DB4ECC"/>
    <w:rsid w:val="00DB4FA1"/>
    <w:rsid w:val="00DB54A1"/>
    <w:rsid w:val="00DB54CB"/>
    <w:rsid w:val="00DB5625"/>
    <w:rsid w:val="00DB60A4"/>
    <w:rsid w:val="00DB6DAC"/>
    <w:rsid w:val="00DB6E00"/>
    <w:rsid w:val="00DB6E35"/>
    <w:rsid w:val="00DB7060"/>
    <w:rsid w:val="00DB7AD7"/>
    <w:rsid w:val="00DC0171"/>
    <w:rsid w:val="00DC01D0"/>
    <w:rsid w:val="00DC0CF6"/>
    <w:rsid w:val="00DC0EDF"/>
    <w:rsid w:val="00DC1556"/>
    <w:rsid w:val="00DC15D1"/>
    <w:rsid w:val="00DC1B50"/>
    <w:rsid w:val="00DC1DD3"/>
    <w:rsid w:val="00DC27FB"/>
    <w:rsid w:val="00DC29DA"/>
    <w:rsid w:val="00DC2B16"/>
    <w:rsid w:val="00DC2D19"/>
    <w:rsid w:val="00DC3166"/>
    <w:rsid w:val="00DC3525"/>
    <w:rsid w:val="00DC3BFC"/>
    <w:rsid w:val="00DC3E3D"/>
    <w:rsid w:val="00DC4363"/>
    <w:rsid w:val="00DC43B5"/>
    <w:rsid w:val="00DC5044"/>
    <w:rsid w:val="00DC53BF"/>
    <w:rsid w:val="00DC58E9"/>
    <w:rsid w:val="00DC591C"/>
    <w:rsid w:val="00DC5AAD"/>
    <w:rsid w:val="00DC5F91"/>
    <w:rsid w:val="00DC6311"/>
    <w:rsid w:val="00DC6BB6"/>
    <w:rsid w:val="00DC7013"/>
    <w:rsid w:val="00DD026D"/>
    <w:rsid w:val="00DD02B8"/>
    <w:rsid w:val="00DD0759"/>
    <w:rsid w:val="00DD09CF"/>
    <w:rsid w:val="00DD0C01"/>
    <w:rsid w:val="00DD165E"/>
    <w:rsid w:val="00DD1858"/>
    <w:rsid w:val="00DD2240"/>
    <w:rsid w:val="00DD3112"/>
    <w:rsid w:val="00DD323C"/>
    <w:rsid w:val="00DD32A6"/>
    <w:rsid w:val="00DD3478"/>
    <w:rsid w:val="00DD3F97"/>
    <w:rsid w:val="00DD3FA3"/>
    <w:rsid w:val="00DD40E3"/>
    <w:rsid w:val="00DD48E1"/>
    <w:rsid w:val="00DD5AE1"/>
    <w:rsid w:val="00DD5E4E"/>
    <w:rsid w:val="00DD6176"/>
    <w:rsid w:val="00DD6538"/>
    <w:rsid w:val="00DD654F"/>
    <w:rsid w:val="00DD65A5"/>
    <w:rsid w:val="00DD6726"/>
    <w:rsid w:val="00DD6943"/>
    <w:rsid w:val="00DD6DE3"/>
    <w:rsid w:val="00DD707D"/>
    <w:rsid w:val="00DD7BBD"/>
    <w:rsid w:val="00DE04BF"/>
    <w:rsid w:val="00DE062D"/>
    <w:rsid w:val="00DE06EF"/>
    <w:rsid w:val="00DE079E"/>
    <w:rsid w:val="00DE0B4A"/>
    <w:rsid w:val="00DE0F26"/>
    <w:rsid w:val="00DE0FEF"/>
    <w:rsid w:val="00DE10AD"/>
    <w:rsid w:val="00DE1276"/>
    <w:rsid w:val="00DE2304"/>
    <w:rsid w:val="00DE2619"/>
    <w:rsid w:val="00DE40CD"/>
    <w:rsid w:val="00DE4288"/>
    <w:rsid w:val="00DE4383"/>
    <w:rsid w:val="00DE49F2"/>
    <w:rsid w:val="00DE5470"/>
    <w:rsid w:val="00DE5F42"/>
    <w:rsid w:val="00DF0440"/>
    <w:rsid w:val="00DF0AEE"/>
    <w:rsid w:val="00DF0D2A"/>
    <w:rsid w:val="00DF0DDA"/>
    <w:rsid w:val="00DF10A9"/>
    <w:rsid w:val="00DF1E26"/>
    <w:rsid w:val="00DF2351"/>
    <w:rsid w:val="00DF2CEF"/>
    <w:rsid w:val="00DF3363"/>
    <w:rsid w:val="00DF38BD"/>
    <w:rsid w:val="00DF3D60"/>
    <w:rsid w:val="00DF4134"/>
    <w:rsid w:val="00DF466E"/>
    <w:rsid w:val="00DF4CC3"/>
    <w:rsid w:val="00DF5144"/>
    <w:rsid w:val="00DF5B89"/>
    <w:rsid w:val="00DF61E1"/>
    <w:rsid w:val="00DF72AC"/>
    <w:rsid w:val="00DF7494"/>
    <w:rsid w:val="00DF7975"/>
    <w:rsid w:val="00E00282"/>
    <w:rsid w:val="00E00A17"/>
    <w:rsid w:val="00E00A59"/>
    <w:rsid w:val="00E00BBC"/>
    <w:rsid w:val="00E00CD2"/>
    <w:rsid w:val="00E00E9B"/>
    <w:rsid w:val="00E0107C"/>
    <w:rsid w:val="00E01096"/>
    <w:rsid w:val="00E0151B"/>
    <w:rsid w:val="00E015A6"/>
    <w:rsid w:val="00E01CB6"/>
    <w:rsid w:val="00E01D09"/>
    <w:rsid w:val="00E02728"/>
    <w:rsid w:val="00E0287B"/>
    <w:rsid w:val="00E03781"/>
    <w:rsid w:val="00E03C64"/>
    <w:rsid w:val="00E03D44"/>
    <w:rsid w:val="00E03FBE"/>
    <w:rsid w:val="00E04BB3"/>
    <w:rsid w:val="00E04D5F"/>
    <w:rsid w:val="00E04E8C"/>
    <w:rsid w:val="00E05447"/>
    <w:rsid w:val="00E0578D"/>
    <w:rsid w:val="00E05808"/>
    <w:rsid w:val="00E05D55"/>
    <w:rsid w:val="00E0681E"/>
    <w:rsid w:val="00E068AA"/>
    <w:rsid w:val="00E0690B"/>
    <w:rsid w:val="00E079BB"/>
    <w:rsid w:val="00E07A51"/>
    <w:rsid w:val="00E07BC1"/>
    <w:rsid w:val="00E1010D"/>
    <w:rsid w:val="00E102DE"/>
    <w:rsid w:val="00E102E4"/>
    <w:rsid w:val="00E1079D"/>
    <w:rsid w:val="00E10D26"/>
    <w:rsid w:val="00E1130C"/>
    <w:rsid w:val="00E115F6"/>
    <w:rsid w:val="00E118BC"/>
    <w:rsid w:val="00E11BD3"/>
    <w:rsid w:val="00E11CF4"/>
    <w:rsid w:val="00E124F9"/>
    <w:rsid w:val="00E1287D"/>
    <w:rsid w:val="00E12B4F"/>
    <w:rsid w:val="00E13247"/>
    <w:rsid w:val="00E13566"/>
    <w:rsid w:val="00E13570"/>
    <w:rsid w:val="00E13597"/>
    <w:rsid w:val="00E136F5"/>
    <w:rsid w:val="00E146B7"/>
    <w:rsid w:val="00E148A6"/>
    <w:rsid w:val="00E148B4"/>
    <w:rsid w:val="00E152D5"/>
    <w:rsid w:val="00E15364"/>
    <w:rsid w:val="00E1563B"/>
    <w:rsid w:val="00E1563E"/>
    <w:rsid w:val="00E1631E"/>
    <w:rsid w:val="00E17133"/>
    <w:rsid w:val="00E17966"/>
    <w:rsid w:val="00E17AB1"/>
    <w:rsid w:val="00E17C4B"/>
    <w:rsid w:val="00E17C79"/>
    <w:rsid w:val="00E17E41"/>
    <w:rsid w:val="00E2084C"/>
    <w:rsid w:val="00E2091B"/>
    <w:rsid w:val="00E20C00"/>
    <w:rsid w:val="00E20CBC"/>
    <w:rsid w:val="00E20D0B"/>
    <w:rsid w:val="00E20F1E"/>
    <w:rsid w:val="00E21692"/>
    <w:rsid w:val="00E219E9"/>
    <w:rsid w:val="00E219F7"/>
    <w:rsid w:val="00E21AEA"/>
    <w:rsid w:val="00E22720"/>
    <w:rsid w:val="00E23474"/>
    <w:rsid w:val="00E23E9F"/>
    <w:rsid w:val="00E24A03"/>
    <w:rsid w:val="00E24B7B"/>
    <w:rsid w:val="00E250BC"/>
    <w:rsid w:val="00E25BD6"/>
    <w:rsid w:val="00E25D3E"/>
    <w:rsid w:val="00E263FC"/>
    <w:rsid w:val="00E2661A"/>
    <w:rsid w:val="00E26708"/>
    <w:rsid w:val="00E267CD"/>
    <w:rsid w:val="00E26885"/>
    <w:rsid w:val="00E26949"/>
    <w:rsid w:val="00E26B20"/>
    <w:rsid w:val="00E26C34"/>
    <w:rsid w:val="00E27258"/>
    <w:rsid w:val="00E2738C"/>
    <w:rsid w:val="00E27454"/>
    <w:rsid w:val="00E2767C"/>
    <w:rsid w:val="00E27987"/>
    <w:rsid w:val="00E27994"/>
    <w:rsid w:val="00E3010C"/>
    <w:rsid w:val="00E30704"/>
    <w:rsid w:val="00E30F5A"/>
    <w:rsid w:val="00E30F6C"/>
    <w:rsid w:val="00E310A9"/>
    <w:rsid w:val="00E31F72"/>
    <w:rsid w:val="00E3202F"/>
    <w:rsid w:val="00E3262A"/>
    <w:rsid w:val="00E328B5"/>
    <w:rsid w:val="00E33246"/>
    <w:rsid w:val="00E3377F"/>
    <w:rsid w:val="00E34037"/>
    <w:rsid w:val="00E342E0"/>
    <w:rsid w:val="00E343D9"/>
    <w:rsid w:val="00E34536"/>
    <w:rsid w:val="00E34A46"/>
    <w:rsid w:val="00E34ACA"/>
    <w:rsid w:val="00E34C9F"/>
    <w:rsid w:val="00E34E58"/>
    <w:rsid w:val="00E35746"/>
    <w:rsid w:val="00E367A4"/>
    <w:rsid w:val="00E37486"/>
    <w:rsid w:val="00E376EC"/>
    <w:rsid w:val="00E3797E"/>
    <w:rsid w:val="00E40197"/>
    <w:rsid w:val="00E4037F"/>
    <w:rsid w:val="00E40B69"/>
    <w:rsid w:val="00E40F77"/>
    <w:rsid w:val="00E412D8"/>
    <w:rsid w:val="00E42134"/>
    <w:rsid w:val="00E427D2"/>
    <w:rsid w:val="00E434BD"/>
    <w:rsid w:val="00E43823"/>
    <w:rsid w:val="00E43AE9"/>
    <w:rsid w:val="00E43BE2"/>
    <w:rsid w:val="00E44142"/>
    <w:rsid w:val="00E44200"/>
    <w:rsid w:val="00E4431E"/>
    <w:rsid w:val="00E45B4F"/>
    <w:rsid w:val="00E4685F"/>
    <w:rsid w:val="00E46CC4"/>
    <w:rsid w:val="00E46F84"/>
    <w:rsid w:val="00E472DB"/>
    <w:rsid w:val="00E473C9"/>
    <w:rsid w:val="00E47612"/>
    <w:rsid w:val="00E4769B"/>
    <w:rsid w:val="00E47981"/>
    <w:rsid w:val="00E47A5C"/>
    <w:rsid w:val="00E47C5B"/>
    <w:rsid w:val="00E50177"/>
    <w:rsid w:val="00E5032E"/>
    <w:rsid w:val="00E50441"/>
    <w:rsid w:val="00E50ECD"/>
    <w:rsid w:val="00E51A01"/>
    <w:rsid w:val="00E525EC"/>
    <w:rsid w:val="00E52B21"/>
    <w:rsid w:val="00E52D59"/>
    <w:rsid w:val="00E53AE7"/>
    <w:rsid w:val="00E53DBD"/>
    <w:rsid w:val="00E53DE9"/>
    <w:rsid w:val="00E53E6C"/>
    <w:rsid w:val="00E54058"/>
    <w:rsid w:val="00E54350"/>
    <w:rsid w:val="00E54441"/>
    <w:rsid w:val="00E5456C"/>
    <w:rsid w:val="00E54C5D"/>
    <w:rsid w:val="00E54D97"/>
    <w:rsid w:val="00E5509E"/>
    <w:rsid w:val="00E55CF4"/>
    <w:rsid w:val="00E56440"/>
    <w:rsid w:val="00E5733C"/>
    <w:rsid w:val="00E57CE4"/>
    <w:rsid w:val="00E57F4A"/>
    <w:rsid w:val="00E61359"/>
    <w:rsid w:val="00E6168A"/>
    <w:rsid w:val="00E6169B"/>
    <w:rsid w:val="00E61D2D"/>
    <w:rsid w:val="00E61F59"/>
    <w:rsid w:val="00E61FB2"/>
    <w:rsid w:val="00E62257"/>
    <w:rsid w:val="00E62973"/>
    <w:rsid w:val="00E62C59"/>
    <w:rsid w:val="00E635BA"/>
    <w:rsid w:val="00E636D0"/>
    <w:rsid w:val="00E639A1"/>
    <w:rsid w:val="00E64B79"/>
    <w:rsid w:val="00E653C7"/>
    <w:rsid w:val="00E654B4"/>
    <w:rsid w:val="00E65781"/>
    <w:rsid w:val="00E65936"/>
    <w:rsid w:val="00E659A5"/>
    <w:rsid w:val="00E65B7A"/>
    <w:rsid w:val="00E65CD3"/>
    <w:rsid w:val="00E662D2"/>
    <w:rsid w:val="00E66370"/>
    <w:rsid w:val="00E665BF"/>
    <w:rsid w:val="00E669AF"/>
    <w:rsid w:val="00E669DE"/>
    <w:rsid w:val="00E66FE3"/>
    <w:rsid w:val="00E6707F"/>
    <w:rsid w:val="00E67157"/>
    <w:rsid w:val="00E67261"/>
    <w:rsid w:val="00E7036F"/>
    <w:rsid w:val="00E7059D"/>
    <w:rsid w:val="00E70AC4"/>
    <w:rsid w:val="00E70AF3"/>
    <w:rsid w:val="00E70F4F"/>
    <w:rsid w:val="00E71159"/>
    <w:rsid w:val="00E7129B"/>
    <w:rsid w:val="00E712AE"/>
    <w:rsid w:val="00E712EC"/>
    <w:rsid w:val="00E7156D"/>
    <w:rsid w:val="00E7184F"/>
    <w:rsid w:val="00E71AE3"/>
    <w:rsid w:val="00E71B1F"/>
    <w:rsid w:val="00E7223D"/>
    <w:rsid w:val="00E7238F"/>
    <w:rsid w:val="00E724B4"/>
    <w:rsid w:val="00E727D1"/>
    <w:rsid w:val="00E72F2A"/>
    <w:rsid w:val="00E730D2"/>
    <w:rsid w:val="00E73725"/>
    <w:rsid w:val="00E73EA0"/>
    <w:rsid w:val="00E7400B"/>
    <w:rsid w:val="00E74398"/>
    <w:rsid w:val="00E74557"/>
    <w:rsid w:val="00E74803"/>
    <w:rsid w:val="00E749B6"/>
    <w:rsid w:val="00E75056"/>
    <w:rsid w:val="00E75455"/>
    <w:rsid w:val="00E75BAF"/>
    <w:rsid w:val="00E75DFB"/>
    <w:rsid w:val="00E762D7"/>
    <w:rsid w:val="00E76C24"/>
    <w:rsid w:val="00E76F6C"/>
    <w:rsid w:val="00E77566"/>
    <w:rsid w:val="00E80426"/>
    <w:rsid w:val="00E80F0F"/>
    <w:rsid w:val="00E81460"/>
    <w:rsid w:val="00E81690"/>
    <w:rsid w:val="00E81A17"/>
    <w:rsid w:val="00E81D04"/>
    <w:rsid w:val="00E81E7E"/>
    <w:rsid w:val="00E82A4C"/>
    <w:rsid w:val="00E82D7E"/>
    <w:rsid w:val="00E840BF"/>
    <w:rsid w:val="00E847CF"/>
    <w:rsid w:val="00E85543"/>
    <w:rsid w:val="00E85BBA"/>
    <w:rsid w:val="00E85D97"/>
    <w:rsid w:val="00E86402"/>
    <w:rsid w:val="00E876A3"/>
    <w:rsid w:val="00E879D3"/>
    <w:rsid w:val="00E87AE7"/>
    <w:rsid w:val="00E87C28"/>
    <w:rsid w:val="00E87D79"/>
    <w:rsid w:val="00E87E79"/>
    <w:rsid w:val="00E903FA"/>
    <w:rsid w:val="00E909FB"/>
    <w:rsid w:val="00E90A78"/>
    <w:rsid w:val="00E91904"/>
    <w:rsid w:val="00E91B46"/>
    <w:rsid w:val="00E92F65"/>
    <w:rsid w:val="00E933E2"/>
    <w:rsid w:val="00E94B76"/>
    <w:rsid w:val="00E952DC"/>
    <w:rsid w:val="00E95595"/>
    <w:rsid w:val="00E955E3"/>
    <w:rsid w:val="00E95655"/>
    <w:rsid w:val="00E95702"/>
    <w:rsid w:val="00E959F0"/>
    <w:rsid w:val="00E95F89"/>
    <w:rsid w:val="00E9619A"/>
    <w:rsid w:val="00E962A1"/>
    <w:rsid w:val="00E96998"/>
    <w:rsid w:val="00E973F0"/>
    <w:rsid w:val="00E973F6"/>
    <w:rsid w:val="00E97440"/>
    <w:rsid w:val="00E97850"/>
    <w:rsid w:val="00E97B66"/>
    <w:rsid w:val="00E97D88"/>
    <w:rsid w:val="00EA021D"/>
    <w:rsid w:val="00EA0245"/>
    <w:rsid w:val="00EA095F"/>
    <w:rsid w:val="00EA0AF5"/>
    <w:rsid w:val="00EA1283"/>
    <w:rsid w:val="00EA1528"/>
    <w:rsid w:val="00EA23AB"/>
    <w:rsid w:val="00EA28CD"/>
    <w:rsid w:val="00EA39F1"/>
    <w:rsid w:val="00EA42B4"/>
    <w:rsid w:val="00EA454B"/>
    <w:rsid w:val="00EA4BE3"/>
    <w:rsid w:val="00EA4C1E"/>
    <w:rsid w:val="00EA4C25"/>
    <w:rsid w:val="00EA4C33"/>
    <w:rsid w:val="00EA4D7D"/>
    <w:rsid w:val="00EA5669"/>
    <w:rsid w:val="00EA57B3"/>
    <w:rsid w:val="00EA5915"/>
    <w:rsid w:val="00EA5B17"/>
    <w:rsid w:val="00EA66D7"/>
    <w:rsid w:val="00EA6720"/>
    <w:rsid w:val="00EA6B6D"/>
    <w:rsid w:val="00EA6C93"/>
    <w:rsid w:val="00EA77DF"/>
    <w:rsid w:val="00EA77F6"/>
    <w:rsid w:val="00EA7D94"/>
    <w:rsid w:val="00EA7F92"/>
    <w:rsid w:val="00EB0009"/>
    <w:rsid w:val="00EB01BD"/>
    <w:rsid w:val="00EB02A9"/>
    <w:rsid w:val="00EB08A6"/>
    <w:rsid w:val="00EB0A31"/>
    <w:rsid w:val="00EB106B"/>
    <w:rsid w:val="00EB1736"/>
    <w:rsid w:val="00EB1B6C"/>
    <w:rsid w:val="00EB1C0A"/>
    <w:rsid w:val="00EB1E0D"/>
    <w:rsid w:val="00EB24CD"/>
    <w:rsid w:val="00EB2540"/>
    <w:rsid w:val="00EB2DA2"/>
    <w:rsid w:val="00EB2DB6"/>
    <w:rsid w:val="00EB2EF4"/>
    <w:rsid w:val="00EB35FA"/>
    <w:rsid w:val="00EB415A"/>
    <w:rsid w:val="00EB4513"/>
    <w:rsid w:val="00EB4A42"/>
    <w:rsid w:val="00EB4E0C"/>
    <w:rsid w:val="00EB4EE6"/>
    <w:rsid w:val="00EB4F56"/>
    <w:rsid w:val="00EB50B0"/>
    <w:rsid w:val="00EB557B"/>
    <w:rsid w:val="00EB5AB0"/>
    <w:rsid w:val="00EB5C6E"/>
    <w:rsid w:val="00EB6388"/>
    <w:rsid w:val="00EB649B"/>
    <w:rsid w:val="00EB662E"/>
    <w:rsid w:val="00EB683E"/>
    <w:rsid w:val="00EB68B6"/>
    <w:rsid w:val="00EB6E9C"/>
    <w:rsid w:val="00EB7120"/>
    <w:rsid w:val="00EB75EF"/>
    <w:rsid w:val="00EB781A"/>
    <w:rsid w:val="00EB7BC8"/>
    <w:rsid w:val="00EC0AC4"/>
    <w:rsid w:val="00EC1FE5"/>
    <w:rsid w:val="00EC2121"/>
    <w:rsid w:val="00EC27A8"/>
    <w:rsid w:val="00EC285E"/>
    <w:rsid w:val="00EC2C24"/>
    <w:rsid w:val="00EC2CAD"/>
    <w:rsid w:val="00EC34C7"/>
    <w:rsid w:val="00EC3B74"/>
    <w:rsid w:val="00EC3DF8"/>
    <w:rsid w:val="00EC43B6"/>
    <w:rsid w:val="00EC47BA"/>
    <w:rsid w:val="00EC57A2"/>
    <w:rsid w:val="00EC5927"/>
    <w:rsid w:val="00EC5C76"/>
    <w:rsid w:val="00EC5FE3"/>
    <w:rsid w:val="00EC6457"/>
    <w:rsid w:val="00EC6504"/>
    <w:rsid w:val="00EC7296"/>
    <w:rsid w:val="00EC73F8"/>
    <w:rsid w:val="00EC7AA0"/>
    <w:rsid w:val="00EC7CBD"/>
    <w:rsid w:val="00ED075A"/>
    <w:rsid w:val="00ED1479"/>
    <w:rsid w:val="00ED156D"/>
    <w:rsid w:val="00ED15C1"/>
    <w:rsid w:val="00ED1C36"/>
    <w:rsid w:val="00ED1DC3"/>
    <w:rsid w:val="00ED230C"/>
    <w:rsid w:val="00ED2CF3"/>
    <w:rsid w:val="00ED2DAB"/>
    <w:rsid w:val="00ED2F04"/>
    <w:rsid w:val="00ED34E7"/>
    <w:rsid w:val="00ED39D3"/>
    <w:rsid w:val="00ED4324"/>
    <w:rsid w:val="00ED4C2C"/>
    <w:rsid w:val="00ED4C95"/>
    <w:rsid w:val="00ED5007"/>
    <w:rsid w:val="00ED6036"/>
    <w:rsid w:val="00ED64C2"/>
    <w:rsid w:val="00ED65BF"/>
    <w:rsid w:val="00ED6AF9"/>
    <w:rsid w:val="00ED74C9"/>
    <w:rsid w:val="00ED75E1"/>
    <w:rsid w:val="00EE07DC"/>
    <w:rsid w:val="00EE0977"/>
    <w:rsid w:val="00EE0B76"/>
    <w:rsid w:val="00EE1456"/>
    <w:rsid w:val="00EE14A3"/>
    <w:rsid w:val="00EE1643"/>
    <w:rsid w:val="00EE18CD"/>
    <w:rsid w:val="00EE1B0E"/>
    <w:rsid w:val="00EE1CB0"/>
    <w:rsid w:val="00EE1E22"/>
    <w:rsid w:val="00EE22D4"/>
    <w:rsid w:val="00EE25F4"/>
    <w:rsid w:val="00EE2987"/>
    <w:rsid w:val="00EE29BE"/>
    <w:rsid w:val="00EE2FE6"/>
    <w:rsid w:val="00EE30D2"/>
    <w:rsid w:val="00EE33CF"/>
    <w:rsid w:val="00EE3417"/>
    <w:rsid w:val="00EE3C12"/>
    <w:rsid w:val="00EE407A"/>
    <w:rsid w:val="00EE4A25"/>
    <w:rsid w:val="00EE4A38"/>
    <w:rsid w:val="00EE5515"/>
    <w:rsid w:val="00EE5581"/>
    <w:rsid w:val="00EE57F5"/>
    <w:rsid w:val="00EE5C4E"/>
    <w:rsid w:val="00EE5E31"/>
    <w:rsid w:val="00EE635A"/>
    <w:rsid w:val="00EE6B27"/>
    <w:rsid w:val="00EE6D4D"/>
    <w:rsid w:val="00EE6E44"/>
    <w:rsid w:val="00EE6FA8"/>
    <w:rsid w:val="00EE7426"/>
    <w:rsid w:val="00EE7521"/>
    <w:rsid w:val="00EE7C67"/>
    <w:rsid w:val="00EE7FE9"/>
    <w:rsid w:val="00EF0171"/>
    <w:rsid w:val="00EF0D04"/>
    <w:rsid w:val="00EF13EF"/>
    <w:rsid w:val="00EF14FA"/>
    <w:rsid w:val="00EF1585"/>
    <w:rsid w:val="00EF2180"/>
    <w:rsid w:val="00EF2760"/>
    <w:rsid w:val="00EF2A27"/>
    <w:rsid w:val="00EF2E82"/>
    <w:rsid w:val="00EF2FEF"/>
    <w:rsid w:val="00EF31A2"/>
    <w:rsid w:val="00EF338B"/>
    <w:rsid w:val="00EF3A03"/>
    <w:rsid w:val="00EF43D8"/>
    <w:rsid w:val="00EF487B"/>
    <w:rsid w:val="00EF4ABE"/>
    <w:rsid w:val="00EF51D9"/>
    <w:rsid w:val="00EF5213"/>
    <w:rsid w:val="00EF52A0"/>
    <w:rsid w:val="00EF5352"/>
    <w:rsid w:val="00EF542F"/>
    <w:rsid w:val="00EF556A"/>
    <w:rsid w:val="00EF564E"/>
    <w:rsid w:val="00EF5653"/>
    <w:rsid w:val="00EF5717"/>
    <w:rsid w:val="00EF59EB"/>
    <w:rsid w:val="00EF61A7"/>
    <w:rsid w:val="00EF66D8"/>
    <w:rsid w:val="00EF7164"/>
    <w:rsid w:val="00EF768E"/>
    <w:rsid w:val="00EF7A46"/>
    <w:rsid w:val="00F0000B"/>
    <w:rsid w:val="00F00B5A"/>
    <w:rsid w:val="00F01223"/>
    <w:rsid w:val="00F01276"/>
    <w:rsid w:val="00F013F0"/>
    <w:rsid w:val="00F01C3E"/>
    <w:rsid w:val="00F01D6E"/>
    <w:rsid w:val="00F02369"/>
    <w:rsid w:val="00F0252F"/>
    <w:rsid w:val="00F0262C"/>
    <w:rsid w:val="00F02998"/>
    <w:rsid w:val="00F02AE0"/>
    <w:rsid w:val="00F02D95"/>
    <w:rsid w:val="00F032DB"/>
    <w:rsid w:val="00F033C2"/>
    <w:rsid w:val="00F03A61"/>
    <w:rsid w:val="00F054FC"/>
    <w:rsid w:val="00F05B9A"/>
    <w:rsid w:val="00F063B8"/>
    <w:rsid w:val="00F06BB2"/>
    <w:rsid w:val="00F078D1"/>
    <w:rsid w:val="00F102F2"/>
    <w:rsid w:val="00F105C0"/>
    <w:rsid w:val="00F10A7E"/>
    <w:rsid w:val="00F10E9F"/>
    <w:rsid w:val="00F1111A"/>
    <w:rsid w:val="00F11170"/>
    <w:rsid w:val="00F116A9"/>
    <w:rsid w:val="00F11834"/>
    <w:rsid w:val="00F1219B"/>
    <w:rsid w:val="00F12BFD"/>
    <w:rsid w:val="00F133A1"/>
    <w:rsid w:val="00F13C35"/>
    <w:rsid w:val="00F13EAF"/>
    <w:rsid w:val="00F145AB"/>
    <w:rsid w:val="00F14ADC"/>
    <w:rsid w:val="00F14C21"/>
    <w:rsid w:val="00F14C6C"/>
    <w:rsid w:val="00F14D20"/>
    <w:rsid w:val="00F14E64"/>
    <w:rsid w:val="00F14E8E"/>
    <w:rsid w:val="00F1539A"/>
    <w:rsid w:val="00F157B2"/>
    <w:rsid w:val="00F1586A"/>
    <w:rsid w:val="00F15A6A"/>
    <w:rsid w:val="00F1616A"/>
    <w:rsid w:val="00F16841"/>
    <w:rsid w:val="00F16BE6"/>
    <w:rsid w:val="00F16E5F"/>
    <w:rsid w:val="00F17263"/>
    <w:rsid w:val="00F17ABA"/>
    <w:rsid w:val="00F17B1C"/>
    <w:rsid w:val="00F17C95"/>
    <w:rsid w:val="00F17F88"/>
    <w:rsid w:val="00F20802"/>
    <w:rsid w:val="00F208C7"/>
    <w:rsid w:val="00F20A52"/>
    <w:rsid w:val="00F20D17"/>
    <w:rsid w:val="00F20D40"/>
    <w:rsid w:val="00F20EF4"/>
    <w:rsid w:val="00F2146F"/>
    <w:rsid w:val="00F217B1"/>
    <w:rsid w:val="00F21896"/>
    <w:rsid w:val="00F21DCB"/>
    <w:rsid w:val="00F22389"/>
    <w:rsid w:val="00F227C3"/>
    <w:rsid w:val="00F22B03"/>
    <w:rsid w:val="00F232D9"/>
    <w:rsid w:val="00F23F35"/>
    <w:rsid w:val="00F23FA3"/>
    <w:rsid w:val="00F24713"/>
    <w:rsid w:val="00F2474E"/>
    <w:rsid w:val="00F25208"/>
    <w:rsid w:val="00F253A8"/>
    <w:rsid w:val="00F2563B"/>
    <w:rsid w:val="00F25C27"/>
    <w:rsid w:val="00F25D6A"/>
    <w:rsid w:val="00F26107"/>
    <w:rsid w:val="00F26AFA"/>
    <w:rsid w:val="00F26AFD"/>
    <w:rsid w:val="00F26F02"/>
    <w:rsid w:val="00F26F78"/>
    <w:rsid w:val="00F277EA"/>
    <w:rsid w:val="00F27891"/>
    <w:rsid w:val="00F27E39"/>
    <w:rsid w:val="00F27FDF"/>
    <w:rsid w:val="00F3007A"/>
    <w:rsid w:val="00F3043C"/>
    <w:rsid w:val="00F31A02"/>
    <w:rsid w:val="00F31BCF"/>
    <w:rsid w:val="00F32AA5"/>
    <w:rsid w:val="00F32AC2"/>
    <w:rsid w:val="00F331A8"/>
    <w:rsid w:val="00F332FE"/>
    <w:rsid w:val="00F333F5"/>
    <w:rsid w:val="00F34001"/>
    <w:rsid w:val="00F3419E"/>
    <w:rsid w:val="00F3476C"/>
    <w:rsid w:val="00F34A01"/>
    <w:rsid w:val="00F3553A"/>
    <w:rsid w:val="00F35703"/>
    <w:rsid w:val="00F36A9B"/>
    <w:rsid w:val="00F36C4D"/>
    <w:rsid w:val="00F36F0A"/>
    <w:rsid w:val="00F374F2"/>
    <w:rsid w:val="00F376A5"/>
    <w:rsid w:val="00F379A6"/>
    <w:rsid w:val="00F37DF3"/>
    <w:rsid w:val="00F402E4"/>
    <w:rsid w:val="00F40480"/>
    <w:rsid w:val="00F40C89"/>
    <w:rsid w:val="00F40DB5"/>
    <w:rsid w:val="00F4196F"/>
    <w:rsid w:val="00F4263A"/>
    <w:rsid w:val="00F4273F"/>
    <w:rsid w:val="00F42A42"/>
    <w:rsid w:val="00F42AED"/>
    <w:rsid w:val="00F4325B"/>
    <w:rsid w:val="00F43425"/>
    <w:rsid w:val="00F43F7C"/>
    <w:rsid w:val="00F44856"/>
    <w:rsid w:val="00F4485F"/>
    <w:rsid w:val="00F45401"/>
    <w:rsid w:val="00F457A5"/>
    <w:rsid w:val="00F45A55"/>
    <w:rsid w:val="00F4603C"/>
    <w:rsid w:val="00F46795"/>
    <w:rsid w:val="00F46878"/>
    <w:rsid w:val="00F46AF4"/>
    <w:rsid w:val="00F46C06"/>
    <w:rsid w:val="00F47294"/>
    <w:rsid w:val="00F473F2"/>
    <w:rsid w:val="00F476E1"/>
    <w:rsid w:val="00F5033C"/>
    <w:rsid w:val="00F50584"/>
    <w:rsid w:val="00F50852"/>
    <w:rsid w:val="00F509ED"/>
    <w:rsid w:val="00F50D61"/>
    <w:rsid w:val="00F5202A"/>
    <w:rsid w:val="00F5226E"/>
    <w:rsid w:val="00F52928"/>
    <w:rsid w:val="00F52D6C"/>
    <w:rsid w:val="00F52FC1"/>
    <w:rsid w:val="00F530B9"/>
    <w:rsid w:val="00F5378D"/>
    <w:rsid w:val="00F537C6"/>
    <w:rsid w:val="00F538B3"/>
    <w:rsid w:val="00F53954"/>
    <w:rsid w:val="00F53A1E"/>
    <w:rsid w:val="00F54552"/>
    <w:rsid w:val="00F5456B"/>
    <w:rsid w:val="00F54C1B"/>
    <w:rsid w:val="00F54D51"/>
    <w:rsid w:val="00F54F72"/>
    <w:rsid w:val="00F55361"/>
    <w:rsid w:val="00F55840"/>
    <w:rsid w:val="00F55ED6"/>
    <w:rsid w:val="00F56E26"/>
    <w:rsid w:val="00F56FDD"/>
    <w:rsid w:val="00F57933"/>
    <w:rsid w:val="00F57C82"/>
    <w:rsid w:val="00F57E5D"/>
    <w:rsid w:val="00F60034"/>
    <w:rsid w:val="00F60538"/>
    <w:rsid w:val="00F60675"/>
    <w:rsid w:val="00F60A58"/>
    <w:rsid w:val="00F61114"/>
    <w:rsid w:val="00F613FA"/>
    <w:rsid w:val="00F61615"/>
    <w:rsid w:val="00F61E4A"/>
    <w:rsid w:val="00F61F06"/>
    <w:rsid w:val="00F6234D"/>
    <w:rsid w:val="00F6257B"/>
    <w:rsid w:val="00F63100"/>
    <w:rsid w:val="00F63482"/>
    <w:rsid w:val="00F63AAD"/>
    <w:rsid w:val="00F63B42"/>
    <w:rsid w:val="00F63BDA"/>
    <w:rsid w:val="00F64702"/>
    <w:rsid w:val="00F6554B"/>
    <w:rsid w:val="00F65B25"/>
    <w:rsid w:val="00F65BAA"/>
    <w:rsid w:val="00F65D06"/>
    <w:rsid w:val="00F65D19"/>
    <w:rsid w:val="00F65EC1"/>
    <w:rsid w:val="00F662CF"/>
    <w:rsid w:val="00F66735"/>
    <w:rsid w:val="00F66899"/>
    <w:rsid w:val="00F66C52"/>
    <w:rsid w:val="00F67141"/>
    <w:rsid w:val="00F67FE7"/>
    <w:rsid w:val="00F7017C"/>
    <w:rsid w:val="00F702F4"/>
    <w:rsid w:val="00F70C05"/>
    <w:rsid w:val="00F71578"/>
    <w:rsid w:val="00F71CCE"/>
    <w:rsid w:val="00F72A2A"/>
    <w:rsid w:val="00F72B0E"/>
    <w:rsid w:val="00F72C45"/>
    <w:rsid w:val="00F73401"/>
    <w:rsid w:val="00F73F08"/>
    <w:rsid w:val="00F74099"/>
    <w:rsid w:val="00F74388"/>
    <w:rsid w:val="00F749F3"/>
    <w:rsid w:val="00F74BBD"/>
    <w:rsid w:val="00F74F0A"/>
    <w:rsid w:val="00F74F6F"/>
    <w:rsid w:val="00F750D0"/>
    <w:rsid w:val="00F75355"/>
    <w:rsid w:val="00F756F4"/>
    <w:rsid w:val="00F7583E"/>
    <w:rsid w:val="00F75E08"/>
    <w:rsid w:val="00F75F88"/>
    <w:rsid w:val="00F76D37"/>
    <w:rsid w:val="00F76D88"/>
    <w:rsid w:val="00F77742"/>
    <w:rsid w:val="00F7795A"/>
    <w:rsid w:val="00F77B31"/>
    <w:rsid w:val="00F77DC1"/>
    <w:rsid w:val="00F77F1A"/>
    <w:rsid w:val="00F80962"/>
    <w:rsid w:val="00F80A68"/>
    <w:rsid w:val="00F80D8C"/>
    <w:rsid w:val="00F81250"/>
    <w:rsid w:val="00F81337"/>
    <w:rsid w:val="00F819B9"/>
    <w:rsid w:val="00F81B81"/>
    <w:rsid w:val="00F82518"/>
    <w:rsid w:val="00F82BD2"/>
    <w:rsid w:val="00F82DAE"/>
    <w:rsid w:val="00F82FF2"/>
    <w:rsid w:val="00F83016"/>
    <w:rsid w:val="00F83A48"/>
    <w:rsid w:val="00F83DE2"/>
    <w:rsid w:val="00F8409E"/>
    <w:rsid w:val="00F840A5"/>
    <w:rsid w:val="00F847E9"/>
    <w:rsid w:val="00F84F96"/>
    <w:rsid w:val="00F8598F"/>
    <w:rsid w:val="00F85A3B"/>
    <w:rsid w:val="00F86636"/>
    <w:rsid w:val="00F868B5"/>
    <w:rsid w:val="00F86954"/>
    <w:rsid w:val="00F8697C"/>
    <w:rsid w:val="00F869C5"/>
    <w:rsid w:val="00F86A97"/>
    <w:rsid w:val="00F86FF9"/>
    <w:rsid w:val="00F879AB"/>
    <w:rsid w:val="00F87B58"/>
    <w:rsid w:val="00F90531"/>
    <w:rsid w:val="00F905F0"/>
    <w:rsid w:val="00F90A75"/>
    <w:rsid w:val="00F90D58"/>
    <w:rsid w:val="00F916A2"/>
    <w:rsid w:val="00F918F3"/>
    <w:rsid w:val="00F91F96"/>
    <w:rsid w:val="00F923E1"/>
    <w:rsid w:val="00F92409"/>
    <w:rsid w:val="00F92AE5"/>
    <w:rsid w:val="00F93053"/>
    <w:rsid w:val="00F9314A"/>
    <w:rsid w:val="00F94895"/>
    <w:rsid w:val="00F94B4F"/>
    <w:rsid w:val="00F95434"/>
    <w:rsid w:val="00F95E37"/>
    <w:rsid w:val="00F96D0B"/>
    <w:rsid w:val="00F97103"/>
    <w:rsid w:val="00F974FC"/>
    <w:rsid w:val="00F97559"/>
    <w:rsid w:val="00F97772"/>
    <w:rsid w:val="00F9788B"/>
    <w:rsid w:val="00F97B59"/>
    <w:rsid w:val="00FA0728"/>
    <w:rsid w:val="00FA09F9"/>
    <w:rsid w:val="00FA0B83"/>
    <w:rsid w:val="00FA1705"/>
    <w:rsid w:val="00FA1B66"/>
    <w:rsid w:val="00FA26B3"/>
    <w:rsid w:val="00FA2A54"/>
    <w:rsid w:val="00FA4465"/>
    <w:rsid w:val="00FA4758"/>
    <w:rsid w:val="00FA47F6"/>
    <w:rsid w:val="00FA5308"/>
    <w:rsid w:val="00FA5356"/>
    <w:rsid w:val="00FA583C"/>
    <w:rsid w:val="00FA5CF3"/>
    <w:rsid w:val="00FA5D4B"/>
    <w:rsid w:val="00FA606F"/>
    <w:rsid w:val="00FA6244"/>
    <w:rsid w:val="00FA62C9"/>
    <w:rsid w:val="00FA639E"/>
    <w:rsid w:val="00FA643D"/>
    <w:rsid w:val="00FA667C"/>
    <w:rsid w:val="00FA6724"/>
    <w:rsid w:val="00FA7016"/>
    <w:rsid w:val="00FA7039"/>
    <w:rsid w:val="00FA7152"/>
    <w:rsid w:val="00FA7953"/>
    <w:rsid w:val="00FA7CF3"/>
    <w:rsid w:val="00FA7E66"/>
    <w:rsid w:val="00FB038C"/>
    <w:rsid w:val="00FB117E"/>
    <w:rsid w:val="00FB151F"/>
    <w:rsid w:val="00FB15EF"/>
    <w:rsid w:val="00FB277C"/>
    <w:rsid w:val="00FB2ED3"/>
    <w:rsid w:val="00FB3311"/>
    <w:rsid w:val="00FB365C"/>
    <w:rsid w:val="00FB395E"/>
    <w:rsid w:val="00FB3E81"/>
    <w:rsid w:val="00FB400E"/>
    <w:rsid w:val="00FB48A0"/>
    <w:rsid w:val="00FB566E"/>
    <w:rsid w:val="00FB56DF"/>
    <w:rsid w:val="00FB5D6E"/>
    <w:rsid w:val="00FB65B3"/>
    <w:rsid w:val="00FB6D87"/>
    <w:rsid w:val="00FB74F2"/>
    <w:rsid w:val="00FB7578"/>
    <w:rsid w:val="00FC0152"/>
    <w:rsid w:val="00FC0747"/>
    <w:rsid w:val="00FC0806"/>
    <w:rsid w:val="00FC0CB1"/>
    <w:rsid w:val="00FC1813"/>
    <w:rsid w:val="00FC191E"/>
    <w:rsid w:val="00FC1B42"/>
    <w:rsid w:val="00FC2444"/>
    <w:rsid w:val="00FC29C4"/>
    <w:rsid w:val="00FC2D17"/>
    <w:rsid w:val="00FC2ECE"/>
    <w:rsid w:val="00FC32A5"/>
    <w:rsid w:val="00FC3578"/>
    <w:rsid w:val="00FC372E"/>
    <w:rsid w:val="00FC3740"/>
    <w:rsid w:val="00FC3A1A"/>
    <w:rsid w:val="00FC3D44"/>
    <w:rsid w:val="00FC4591"/>
    <w:rsid w:val="00FC477B"/>
    <w:rsid w:val="00FC4A49"/>
    <w:rsid w:val="00FC5114"/>
    <w:rsid w:val="00FC541C"/>
    <w:rsid w:val="00FC5689"/>
    <w:rsid w:val="00FC57A0"/>
    <w:rsid w:val="00FC5D8B"/>
    <w:rsid w:val="00FC5F6F"/>
    <w:rsid w:val="00FC66C2"/>
    <w:rsid w:val="00FC6C2F"/>
    <w:rsid w:val="00FC6ED2"/>
    <w:rsid w:val="00FC71CD"/>
    <w:rsid w:val="00FC7250"/>
    <w:rsid w:val="00FC7360"/>
    <w:rsid w:val="00FD07C9"/>
    <w:rsid w:val="00FD0B54"/>
    <w:rsid w:val="00FD0CEE"/>
    <w:rsid w:val="00FD1531"/>
    <w:rsid w:val="00FD160F"/>
    <w:rsid w:val="00FD2145"/>
    <w:rsid w:val="00FD27EE"/>
    <w:rsid w:val="00FD2B99"/>
    <w:rsid w:val="00FD35FF"/>
    <w:rsid w:val="00FD3674"/>
    <w:rsid w:val="00FD449A"/>
    <w:rsid w:val="00FD44E0"/>
    <w:rsid w:val="00FD497B"/>
    <w:rsid w:val="00FD4D2D"/>
    <w:rsid w:val="00FD5439"/>
    <w:rsid w:val="00FD56F7"/>
    <w:rsid w:val="00FD57A7"/>
    <w:rsid w:val="00FD5889"/>
    <w:rsid w:val="00FD7973"/>
    <w:rsid w:val="00FE063D"/>
    <w:rsid w:val="00FE07CC"/>
    <w:rsid w:val="00FE08F7"/>
    <w:rsid w:val="00FE0B55"/>
    <w:rsid w:val="00FE0CF9"/>
    <w:rsid w:val="00FE16F0"/>
    <w:rsid w:val="00FE1D78"/>
    <w:rsid w:val="00FE29B9"/>
    <w:rsid w:val="00FE2EAA"/>
    <w:rsid w:val="00FE2EC4"/>
    <w:rsid w:val="00FE3B26"/>
    <w:rsid w:val="00FE48A8"/>
    <w:rsid w:val="00FE4D49"/>
    <w:rsid w:val="00FE4D68"/>
    <w:rsid w:val="00FE5852"/>
    <w:rsid w:val="00FE64CB"/>
    <w:rsid w:val="00FE7027"/>
    <w:rsid w:val="00FE74AF"/>
    <w:rsid w:val="00FE7608"/>
    <w:rsid w:val="00FE7869"/>
    <w:rsid w:val="00FE7DF6"/>
    <w:rsid w:val="00FE7F1E"/>
    <w:rsid w:val="00FF00BA"/>
    <w:rsid w:val="00FF0834"/>
    <w:rsid w:val="00FF19B7"/>
    <w:rsid w:val="00FF1FDD"/>
    <w:rsid w:val="00FF22B2"/>
    <w:rsid w:val="00FF2909"/>
    <w:rsid w:val="00FF298F"/>
    <w:rsid w:val="00FF2AC9"/>
    <w:rsid w:val="00FF4706"/>
    <w:rsid w:val="00FF49FA"/>
    <w:rsid w:val="00FF4C76"/>
    <w:rsid w:val="00FF5AFD"/>
    <w:rsid w:val="00FF787E"/>
    <w:rsid w:val="00FF7AC4"/>
    <w:rsid w:val="01154625"/>
    <w:rsid w:val="02423C1A"/>
    <w:rsid w:val="032B37E2"/>
    <w:rsid w:val="05056ECB"/>
    <w:rsid w:val="072B558A"/>
    <w:rsid w:val="07B82247"/>
    <w:rsid w:val="07DD7602"/>
    <w:rsid w:val="07E070EA"/>
    <w:rsid w:val="093166C1"/>
    <w:rsid w:val="0AA94A4B"/>
    <w:rsid w:val="0B5D370B"/>
    <w:rsid w:val="0C2B7627"/>
    <w:rsid w:val="0D2326FA"/>
    <w:rsid w:val="0DA14534"/>
    <w:rsid w:val="0FDE3EBA"/>
    <w:rsid w:val="10B434F4"/>
    <w:rsid w:val="11D8333C"/>
    <w:rsid w:val="12D2169A"/>
    <w:rsid w:val="133860E2"/>
    <w:rsid w:val="1427475F"/>
    <w:rsid w:val="17574124"/>
    <w:rsid w:val="19F12F5A"/>
    <w:rsid w:val="1D4F3C94"/>
    <w:rsid w:val="1E670BE0"/>
    <w:rsid w:val="1E6C3E18"/>
    <w:rsid w:val="26AF5F70"/>
    <w:rsid w:val="2AE85630"/>
    <w:rsid w:val="2DC0011A"/>
    <w:rsid w:val="30083E18"/>
    <w:rsid w:val="3275455E"/>
    <w:rsid w:val="340C51E9"/>
    <w:rsid w:val="34746538"/>
    <w:rsid w:val="351E284A"/>
    <w:rsid w:val="373E0C38"/>
    <w:rsid w:val="3762480F"/>
    <w:rsid w:val="395E762B"/>
    <w:rsid w:val="3A043811"/>
    <w:rsid w:val="3DF0277D"/>
    <w:rsid w:val="3FB65759"/>
    <w:rsid w:val="41185FD8"/>
    <w:rsid w:val="42320402"/>
    <w:rsid w:val="45283286"/>
    <w:rsid w:val="4540021E"/>
    <w:rsid w:val="47942F0E"/>
    <w:rsid w:val="4A010DB9"/>
    <w:rsid w:val="4A3547F7"/>
    <w:rsid w:val="4A743B55"/>
    <w:rsid w:val="4AC97B23"/>
    <w:rsid w:val="4D504281"/>
    <w:rsid w:val="4EF75A69"/>
    <w:rsid w:val="50E611C9"/>
    <w:rsid w:val="51B86608"/>
    <w:rsid w:val="5273427D"/>
    <w:rsid w:val="536D5531"/>
    <w:rsid w:val="546A0BB1"/>
    <w:rsid w:val="579249D9"/>
    <w:rsid w:val="580E1F49"/>
    <w:rsid w:val="59EE6397"/>
    <w:rsid w:val="5A680F07"/>
    <w:rsid w:val="5B780BF7"/>
    <w:rsid w:val="5C0F6C30"/>
    <w:rsid w:val="5C1318E2"/>
    <w:rsid w:val="5C74712C"/>
    <w:rsid w:val="60253D25"/>
    <w:rsid w:val="61FF61C1"/>
    <w:rsid w:val="638D5E80"/>
    <w:rsid w:val="639C0536"/>
    <w:rsid w:val="64DF73B8"/>
    <w:rsid w:val="64E8140D"/>
    <w:rsid w:val="64ED7CE4"/>
    <w:rsid w:val="652076B8"/>
    <w:rsid w:val="666148EE"/>
    <w:rsid w:val="68665F57"/>
    <w:rsid w:val="6AA465EF"/>
    <w:rsid w:val="6B7B3016"/>
    <w:rsid w:val="6D3D2FD3"/>
    <w:rsid w:val="6D7D5D11"/>
    <w:rsid w:val="6DA35C4C"/>
    <w:rsid w:val="6DAC4DE3"/>
    <w:rsid w:val="6E4A5798"/>
    <w:rsid w:val="6FF04CB7"/>
    <w:rsid w:val="72D05AEC"/>
    <w:rsid w:val="750129AC"/>
    <w:rsid w:val="752B4DC2"/>
    <w:rsid w:val="76695586"/>
    <w:rsid w:val="77780192"/>
    <w:rsid w:val="78707CA6"/>
    <w:rsid w:val="78F67AD6"/>
    <w:rsid w:val="7E487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qFormat/>
    <w:uiPriority w:val="0"/>
    <w:pPr>
      <w:keepNext/>
      <w:keepLines/>
      <w:spacing w:line="600" w:lineRule="exact"/>
      <w:jc w:val="center"/>
      <w:outlineLvl w:val="0"/>
    </w:pPr>
    <w:rPr>
      <w:rFonts w:eastAsia="黑体"/>
      <w:b/>
      <w:kern w:val="44"/>
      <w:sz w:val="32"/>
      <w:szCs w:val="20"/>
    </w:rPr>
  </w:style>
  <w:style w:type="paragraph" w:styleId="3">
    <w:name w:val="heading 2"/>
    <w:basedOn w:val="1"/>
    <w:next w:val="1"/>
    <w:link w:val="8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0"/>
    <w:qFormat/>
    <w:uiPriority w:val="0"/>
    <w:pPr>
      <w:spacing w:before="260" w:after="260" w:line="415" w:lineRule="auto"/>
      <w:outlineLvl w:val="2"/>
    </w:pPr>
    <w:rPr>
      <w:b/>
      <w:bCs/>
      <w:sz w:val="32"/>
      <w:szCs w:val="32"/>
    </w:rPr>
  </w:style>
  <w:style w:type="paragraph" w:styleId="5">
    <w:name w:val="heading 4"/>
    <w:basedOn w:val="1"/>
    <w:next w:val="1"/>
    <w:link w:val="51"/>
    <w:qFormat/>
    <w:uiPriority w:val="0"/>
    <w:pPr>
      <w:keepNext/>
      <w:keepLines/>
      <w:spacing w:line="500" w:lineRule="exact"/>
      <w:ind w:left="1080"/>
      <w:outlineLvl w:val="3"/>
    </w:pPr>
    <w:rPr>
      <w:rFonts w:ascii="Cambria" w:hAnsi="Cambria"/>
      <w:bCs/>
      <w:szCs w:val="28"/>
    </w:rPr>
  </w:style>
  <w:style w:type="paragraph" w:styleId="6">
    <w:name w:val="heading 5"/>
    <w:basedOn w:val="1"/>
    <w:next w:val="1"/>
    <w:link w:val="96"/>
    <w:qFormat/>
    <w:uiPriority w:val="0"/>
    <w:pPr>
      <w:keepNext/>
      <w:keepLines/>
      <w:spacing w:before="280" w:after="290" w:line="372" w:lineRule="auto"/>
      <w:outlineLvl w:val="4"/>
    </w:pPr>
    <w:rPr>
      <w:rFonts w:ascii="Calibri" w:hAnsi="Calibri"/>
      <w:b/>
      <w:bCs/>
      <w:sz w:val="28"/>
      <w:szCs w:val="28"/>
    </w:rPr>
  </w:style>
  <w:style w:type="paragraph" w:styleId="7">
    <w:name w:val="heading 6"/>
    <w:basedOn w:val="1"/>
    <w:next w:val="1"/>
    <w:link w:val="97"/>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52"/>
    <w:qFormat/>
    <w:uiPriority w:val="0"/>
    <w:pPr>
      <w:keepNext/>
      <w:keepLines/>
      <w:adjustRightInd w:val="0"/>
      <w:spacing w:before="240" w:after="64" w:line="320" w:lineRule="atLeast"/>
      <w:textAlignment w:val="baseline"/>
      <w:outlineLvl w:val="6"/>
    </w:pPr>
    <w:rPr>
      <w:b/>
      <w:kern w:val="0"/>
      <w:sz w:val="24"/>
      <w:szCs w:val="20"/>
    </w:rPr>
  </w:style>
  <w:style w:type="paragraph" w:styleId="9">
    <w:name w:val="heading 8"/>
    <w:basedOn w:val="1"/>
    <w:next w:val="1"/>
    <w:link w:val="53"/>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54"/>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rFonts w:asciiTheme="minorHAnsi" w:hAnsiTheme="minorHAnsi" w:cstheme="minorHAnsi"/>
      <w:sz w:val="18"/>
      <w:szCs w:val="18"/>
    </w:rPr>
  </w:style>
  <w:style w:type="paragraph" w:styleId="12">
    <w:name w:val="Normal Indent"/>
    <w:basedOn w:val="1"/>
    <w:link w:val="98"/>
    <w:qFormat/>
    <w:uiPriority w:val="0"/>
    <w:pPr>
      <w:ind w:firstLine="420"/>
    </w:pPr>
    <w:rPr>
      <w:szCs w:val="20"/>
    </w:rPr>
  </w:style>
  <w:style w:type="paragraph" w:styleId="13">
    <w:name w:val="caption"/>
    <w:basedOn w:val="1"/>
    <w:next w:val="1"/>
    <w:qFormat/>
    <w:uiPriority w:val="0"/>
    <w:pPr>
      <w:adjustRightInd w:val="0"/>
      <w:spacing w:before="152" w:after="160" w:line="360" w:lineRule="atLeast"/>
      <w:jc w:val="left"/>
      <w:textAlignment w:val="baseline"/>
    </w:pPr>
    <w:rPr>
      <w:rFonts w:ascii="Arial" w:hAnsi="Arial" w:eastAsia="黑体"/>
      <w:spacing w:val="20"/>
      <w:kern w:val="21"/>
      <w:sz w:val="24"/>
      <w:szCs w:val="20"/>
    </w:rPr>
  </w:style>
  <w:style w:type="paragraph" w:styleId="14">
    <w:name w:val="Document Map"/>
    <w:basedOn w:val="1"/>
    <w:link w:val="116"/>
    <w:qFormat/>
    <w:uiPriority w:val="0"/>
    <w:pPr>
      <w:shd w:val="clear" w:color="auto" w:fill="000080"/>
    </w:pPr>
  </w:style>
  <w:style w:type="paragraph" w:styleId="15">
    <w:name w:val="annotation text"/>
    <w:basedOn w:val="1"/>
    <w:link w:val="84"/>
    <w:unhideWhenUsed/>
    <w:qFormat/>
    <w:uiPriority w:val="99"/>
    <w:pPr>
      <w:jc w:val="left"/>
    </w:pPr>
  </w:style>
  <w:style w:type="paragraph" w:styleId="16">
    <w:name w:val="Body Text 3"/>
    <w:basedOn w:val="1"/>
    <w:link w:val="67"/>
    <w:qFormat/>
    <w:uiPriority w:val="0"/>
    <w:pPr>
      <w:widowControl/>
      <w:autoSpaceDE w:val="0"/>
      <w:autoSpaceDN w:val="0"/>
      <w:adjustRightInd w:val="0"/>
      <w:spacing w:line="360" w:lineRule="auto"/>
      <w:textAlignment w:val="bottom"/>
    </w:pPr>
    <w:rPr>
      <w:rFonts w:ascii="宋体" w:hAnsi="宋体"/>
      <w:kern w:val="0"/>
      <w:sz w:val="24"/>
      <w:szCs w:val="20"/>
      <w:shd w:val="pct10" w:color="auto" w:fill="FFFFFF"/>
    </w:rPr>
  </w:style>
  <w:style w:type="paragraph" w:styleId="17">
    <w:name w:val="Body Text"/>
    <w:basedOn w:val="1"/>
    <w:link w:val="86"/>
    <w:qFormat/>
    <w:uiPriority w:val="0"/>
    <w:pPr>
      <w:spacing w:after="120"/>
    </w:pPr>
  </w:style>
  <w:style w:type="paragraph" w:styleId="18">
    <w:name w:val="Body Text Indent"/>
    <w:basedOn w:val="1"/>
    <w:link w:val="88"/>
    <w:qFormat/>
    <w:uiPriority w:val="0"/>
    <w:pPr>
      <w:spacing w:line="360" w:lineRule="auto"/>
      <w:ind w:left="435" w:leftChars="207"/>
    </w:pPr>
    <w:rPr>
      <w:sz w:val="24"/>
    </w:rPr>
  </w:style>
  <w:style w:type="paragraph" w:styleId="19">
    <w:name w:val="Block Text"/>
    <w:basedOn w:val="1"/>
    <w:qFormat/>
    <w:uiPriority w:val="0"/>
    <w:pPr>
      <w:tabs>
        <w:tab w:val="left" w:pos="-540"/>
      </w:tabs>
      <w:spacing w:line="420" w:lineRule="exact"/>
      <w:ind w:left="-359" w:leftChars="-171" w:right="-617" w:rightChars="-294" w:firstLine="538" w:firstLineChars="224"/>
    </w:pPr>
    <w:rPr>
      <w:sz w:val="24"/>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rFonts w:asciiTheme="minorHAnsi" w:hAnsiTheme="minorHAnsi" w:cstheme="minorHAnsi"/>
      <w:sz w:val="18"/>
      <w:szCs w:val="18"/>
    </w:rPr>
  </w:style>
  <w:style w:type="paragraph" w:styleId="22">
    <w:name w:val="toc 3"/>
    <w:basedOn w:val="1"/>
    <w:next w:val="1"/>
    <w:qFormat/>
    <w:uiPriority w:val="39"/>
    <w:pPr>
      <w:ind w:left="420"/>
      <w:jc w:val="left"/>
    </w:pPr>
    <w:rPr>
      <w:rFonts w:asciiTheme="minorHAnsi" w:hAnsiTheme="minorHAnsi" w:cstheme="minorHAnsi"/>
      <w:i/>
      <w:iCs/>
      <w:sz w:val="20"/>
      <w:szCs w:val="20"/>
    </w:rPr>
  </w:style>
  <w:style w:type="paragraph" w:styleId="23">
    <w:name w:val="Plain Text"/>
    <w:basedOn w:val="1"/>
    <w:link w:val="61"/>
    <w:qFormat/>
    <w:uiPriority w:val="0"/>
    <w:rPr>
      <w:rFonts w:ascii="宋体" w:hAnsi="Courier New"/>
      <w:szCs w:val="20"/>
    </w:rPr>
  </w:style>
  <w:style w:type="paragraph" w:styleId="24">
    <w:name w:val="toc 8"/>
    <w:basedOn w:val="1"/>
    <w:next w:val="1"/>
    <w:qFormat/>
    <w:uiPriority w:val="39"/>
    <w:pPr>
      <w:ind w:left="1470"/>
      <w:jc w:val="left"/>
    </w:pPr>
    <w:rPr>
      <w:rFonts w:asciiTheme="minorHAnsi" w:hAnsiTheme="minorHAnsi" w:cstheme="minorHAnsi"/>
      <w:sz w:val="18"/>
      <w:szCs w:val="18"/>
    </w:rPr>
  </w:style>
  <w:style w:type="paragraph" w:styleId="25">
    <w:name w:val="Date"/>
    <w:basedOn w:val="1"/>
    <w:next w:val="1"/>
    <w:link w:val="90"/>
    <w:qFormat/>
    <w:uiPriority w:val="0"/>
    <w:pPr>
      <w:ind w:left="100" w:leftChars="2500"/>
    </w:pPr>
  </w:style>
  <w:style w:type="paragraph" w:styleId="26">
    <w:name w:val="Body Text Indent 2"/>
    <w:basedOn w:val="1"/>
    <w:link w:val="68"/>
    <w:qFormat/>
    <w:uiPriority w:val="0"/>
    <w:pPr>
      <w:spacing w:line="360" w:lineRule="auto"/>
      <w:ind w:firstLine="600"/>
    </w:pPr>
    <w:rPr>
      <w:rFonts w:ascii="宋体"/>
      <w:sz w:val="30"/>
      <w:szCs w:val="20"/>
    </w:rPr>
  </w:style>
  <w:style w:type="paragraph" w:styleId="27">
    <w:name w:val="Balloon Text"/>
    <w:basedOn w:val="1"/>
    <w:link w:val="59"/>
    <w:qFormat/>
    <w:uiPriority w:val="0"/>
    <w:rPr>
      <w:sz w:val="18"/>
      <w:szCs w:val="18"/>
    </w:rPr>
  </w:style>
  <w:style w:type="paragraph" w:styleId="28">
    <w:name w:val="footer"/>
    <w:basedOn w:val="1"/>
    <w:link w:val="85"/>
    <w:qFormat/>
    <w:uiPriority w:val="99"/>
    <w:pPr>
      <w:tabs>
        <w:tab w:val="center" w:pos="4153"/>
        <w:tab w:val="right" w:pos="8306"/>
      </w:tabs>
      <w:snapToGrid w:val="0"/>
      <w:jc w:val="left"/>
    </w:pPr>
    <w:rPr>
      <w:sz w:val="18"/>
      <w:szCs w:val="18"/>
    </w:rPr>
  </w:style>
  <w:style w:type="paragraph" w:styleId="29">
    <w:name w:val="header"/>
    <w:basedOn w:val="1"/>
    <w:link w:val="55"/>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31">
    <w:name w:val="toc 4"/>
    <w:basedOn w:val="1"/>
    <w:next w:val="1"/>
    <w:qFormat/>
    <w:uiPriority w:val="39"/>
    <w:pPr>
      <w:ind w:left="630"/>
      <w:jc w:val="left"/>
    </w:pPr>
    <w:rPr>
      <w:rFonts w:asciiTheme="minorHAnsi" w:hAnsiTheme="minorHAnsi" w:cstheme="minorHAnsi"/>
      <w:sz w:val="18"/>
      <w:szCs w:val="18"/>
    </w:rPr>
  </w:style>
  <w:style w:type="paragraph" w:styleId="32">
    <w:name w:val="Subtitle"/>
    <w:basedOn w:val="1"/>
    <w:next w:val="1"/>
    <w:link w:val="103"/>
    <w:qFormat/>
    <w:uiPriority w:val="0"/>
    <w:pPr>
      <w:spacing w:before="240" w:after="60" w:line="312" w:lineRule="auto"/>
      <w:jc w:val="center"/>
      <w:outlineLvl w:val="1"/>
    </w:pPr>
    <w:rPr>
      <w:rFonts w:ascii="Cambria" w:hAnsi="Cambria"/>
      <w:b/>
      <w:bCs/>
      <w:kern w:val="28"/>
      <w:sz w:val="32"/>
      <w:szCs w:val="32"/>
    </w:rPr>
  </w:style>
  <w:style w:type="paragraph" w:styleId="33">
    <w:name w:val="toc 6"/>
    <w:basedOn w:val="1"/>
    <w:next w:val="1"/>
    <w:qFormat/>
    <w:uiPriority w:val="39"/>
    <w:pPr>
      <w:ind w:left="1050"/>
      <w:jc w:val="left"/>
    </w:pPr>
    <w:rPr>
      <w:rFonts w:asciiTheme="minorHAnsi" w:hAnsiTheme="minorHAnsi" w:cstheme="minorHAnsi"/>
      <w:sz w:val="18"/>
      <w:szCs w:val="18"/>
    </w:rPr>
  </w:style>
  <w:style w:type="paragraph" w:styleId="34">
    <w:name w:val="Body Text Indent 3"/>
    <w:basedOn w:val="1"/>
    <w:link w:val="91"/>
    <w:qFormat/>
    <w:uiPriority w:val="0"/>
    <w:pPr>
      <w:spacing w:after="120"/>
      <w:ind w:left="420" w:leftChars="200"/>
    </w:pPr>
    <w:rPr>
      <w:sz w:val="16"/>
      <w:szCs w:val="16"/>
    </w:rPr>
  </w:style>
  <w:style w:type="paragraph" w:styleId="35">
    <w:name w:val="toc 2"/>
    <w:basedOn w:val="1"/>
    <w:next w:val="1"/>
    <w:qFormat/>
    <w:uiPriority w:val="39"/>
    <w:pPr>
      <w:ind w:left="210"/>
      <w:jc w:val="left"/>
    </w:pPr>
    <w:rPr>
      <w:rFonts w:asciiTheme="minorHAnsi" w:hAnsiTheme="minorHAnsi" w:cstheme="minorHAnsi"/>
      <w:smallCaps/>
      <w:sz w:val="20"/>
      <w:szCs w:val="20"/>
    </w:rPr>
  </w:style>
  <w:style w:type="paragraph" w:styleId="36">
    <w:name w:val="toc 9"/>
    <w:basedOn w:val="1"/>
    <w:next w:val="1"/>
    <w:qFormat/>
    <w:uiPriority w:val="39"/>
    <w:pPr>
      <w:ind w:left="1680"/>
      <w:jc w:val="left"/>
    </w:pPr>
    <w:rPr>
      <w:rFonts w:asciiTheme="minorHAnsi" w:hAnsiTheme="minorHAnsi" w:cstheme="minorHAnsi"/>
      <w:sz w:val="18"/>
      <w:szCs w:val="18"/>
    </w:rPr>
  </w:style>
  <w:style w:type="paragraph" w:styleId="37">
    <w:name w:val="Body Text 2"/>
    <w:basedOn w:val="1"/>
    <w:link w:val="69"/>
    <w:qFormat/>
    <w:uiPriority w:val="0"/>
    <w:pPr>
      <w:adjustRightInd w:val="0"/>
      <w:spacing w:line="400" w:lineRule="exact"/>
      <w:jc w:val="left"/>
      <w:textAlignment w:val="baseline"/>
      <w:outlineLvl w:val="0"/>
    </w:pPr>
    <w:rPr>
      <w:rFonts w:ascii="宋体"/>
      <w:kern w:val="0"/>
      <w:sz w:val="24"/>
      <w:szCs w:val="20"/>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Title"/>
    <w:basedOn w:val="1"/>
    <w:next w:val="1"/>
    <w:link w:val="102"/>
    <w:qFormat/>
    <w:uiPriority w:val="0"/>
    <w:pPr>
      <w:spacing w:before="240" w:after="60"/>
      <w:jc w:val="center"/>
      <w:outlineLvl w:val="0"/>
    </w:pPr>
    <w:rPr>
      <w:rFonts w:ascii="Cambria" w:hAnsi="Cambria"/>
      <w:b/>
      <w:bCs/>
      <w:sz w:val="32"/>
      <w:szCs w:val="32"/>
    </w:rPr>
  </w:style>
  <w:style w:type="paragraph" w:styleId="40">
    <w:name w:val="annotation subject"/>
    <w:basedOn w:val="15"/>
    <w:next w:val="15"/>
    <w:link w:val="92"/>
    <w:unhideWhenUsed/>
    <w:qFormat/>
    <w:uiPriority w:val="0"/>
    <w:rPr>
      <w:b/>
      <w:bCs/>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99"/>
    <w:rPr>
      <w:color w:val="800080"/>
      <w:u w:val="single"/>
    </w:rPr>
  </w:style>
  <w:style w:type="character" w:styleId="47">
    <w:name w:val="Emphasis"/>
    <w:qFormat/>
    <w:uiPriority w:val="0"/>
    <w:rPr>
      <w:i/>
      <w:iCs/>
    </w:rPr>
  </w:style>
  <w:style w:type="character" w:styleId="48">
    <w:name w:val="Hyperlink"/>
    <w:qFormat/>
    <w:uiPriority w:val="99"/>
    <w:rPr>
      <w:color w:val="0066CC"/>
      <w:u w:val="none"/>
    </w:rPr>
  </w:style>
  <w:style w:type="character" w:styleId="49">
    <w:name w:val="annotation reference"/>
    <w:unhideWhenUsed/>
    <w:qFormat/>
    <w:uiPriority w:val="99"/>
    <w:rPr>
      <w:rFonts w:hint="default" w:ascii="Times New Roman" w:hAnsi="Times New Roman" w:cs="Times New Roman"/>
      <w:sz w:val="21"/>
      <w:szCs w:val="21"/>
    </w:rPr>
  </w:style>
  <w:style w:type="character" w:customStyle="1" w:styleId="50">
    <w:name w:val="标题 3 字符"/>
    <w:link w:val="4"/>
    <w:qFormat/>
    <w:uiPriority w:val="0"/>
    <w:rPr>
      <w:rFonts w:ascii="Times New Roman" w:hAnsi="Times New Roman"/>
      <w:b/>
      <w:bCs/>
      <w:kern w:val="2"/>
      <w:sz w:val="32"/>
      <w:szCs w:val="32"/>
    </w:rPr>
  </w:style>
  <w:style w:type="character" w:customStyle="1" w:styleId="51">
    <w:name w:val="标题 4 字符"/>
    <w:link w:val="5"/>
    <w:qFormat/>
    <w:uiPriority w:val="0"/>
    <w:rPr>
      <w:rFonts w:ascii="Cambria" w:hAnsi="Cambria" w:eastAsia="宋体"/>
      <w:bCs/>
      <w:kern w:val="2"/>
      <w:sz w:val="21"/>
      <w:szCs w:val="28"/>
      <w:lang w:bidi="ar-SA"/>
    </w:rPr>
  </w:style>
  <w:style w:type="character" w:customStyle="1" w:styleId="52">
    <w:name w:val="标题 7 字符"/>
    <w:link w:val="8"/>
    <w:qFormat/>
    <w:uiPriority w:val="0"/>
    <w:rPr>
      <w:b/>
      <w:sz w:val="24"/>
    </w:rPr>
  </w:style>
  <w:style w:type="character" w:customStyle="1" w:styleId="53">
    <w:name w:val="标题 8 字符"/>
    <w:link w:val="9"/>
    <w:qFormat/>
    <w:uiPriority w:val="0"/>
    <w:rPr>
      <w:rFonts w:ascii="Arial" w:hAnsi="Arial" w:eastAsia="黑体"/>
      <w:sz w:val="24"/>
    </w:rPr>
  </w:style>
  <w:style w:type="character" w:customStyle="1" w:styleId="54">
    <w:name w:val="标题 9 字符"/>
    <w:link w:val="10"/>
    <w:qFormat/>
    <w:uiPriority w:val="0"/>
    <w:rPr>
      <w:rFonts w:ascii="Arial" w:hAnsi="Arial" w:eastAsia="黑体"/>
      <w:sz w:val="21"/>
    </w:rPr>
  </w:style>
  <w:style w:type="character" w:customStyle="1" w:styleId="55">
    <w:name w:val="页眉 字符"/>
    <w:link w:val="29"/>
    <w:qFormat/>
    <w:uiPriority w:val="99"/>
    <w:rPr>
      <w:rFonts w:eastAsia="宋体"/>
      <w:kern w:val="2"/>
      <w:sz w:val="18"/>
      <w:szCs w:val="18"/>
      <w:lang w:val="en-US" w:eastAsia="zh-CN" w:bidi="ar-SA"/>
    </w:rPr>
  </w:style>
  <w:style w:type="paragraph" w:customStyle="1" w:styleId="56">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57">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58">
    <w:name w:val="1"/>
    <w:basedOn w:val="1"/>
    <w:next w:val="34"/>
    <w:qFormat/>
    <w:uiPriority w:val="0"/>
    <w:pPr>
      <w:spacing w:line="360" w:lineRule="auto"/>
      <w:ind w:firstLine="567"/>
    </w:pPr>
    <w:rPr>
      <w:sz w:val="24"/>
    </w:rPr>
  </w:style>
  <w:style w:type="character" w:customStyle="1" w:styleId="59">
    <w:name w:val="批注框文本 字符"/>
    <w:link w:val="27"/>
    <w:qFormat/>
    <w:uiPriority w:val="0"/>
    <w:rPr>
      <w:rFonts w:eastAsia="宋体"/>
      <w:kern w:val="2"/>
      <w:sz w:val="18"/>
      <w:szCs w:val="18"/>
      <w:lang w:val="en-US" w:eastAsia="zh-CN" w:bidi="ar-SA"/>
    </w:rPr>
  </w:style>
  <w:style w:type="paragraph" w:customStyle="1" w:styleId="60">
    <w:name w:val="bb"/>
    <w:basedOn w:val="1"/>
    <w:qFormat/>
    <w:uiPriority w:val="0"/>
    <w:pPr>
      <w:widowControl/>
      <w:spacing w:before="100" w:beforeAutospacing="1" w:after="100" w:afterAutospacing="1"/>
      <w:jc w:val="left"/>
    </w:pPr>
    <w:rPr>
      <w:rFonts w:ascii="宋体" w:hAnsi="宋体" w:cs="宋体"/>
      <w:b/>
      <w:bCs/>
      <w:color w:val="990000"/>
      <w:kern w:val="0"/>
      <w:sz w:val="18"/>
      <w:szCs w:val="18"/>
    </w:rPr>
  </w:style>
  <w:style w:type="character" w:customStyle="1" w:styleId="61">
    <w:name w:val="纯文本 字符"/>
    <w:link w:val="23"/>
    <w:qFormat/>
    <w:uiPriority w:val="0"/>
    <w:rPr>
      <w:rFonts w:ascii="宋体" w:hAnsi="Courier New"/>
      <w:kern w:val="2"/>
      <w:sz w:val="21"/>
    </w:rPr>
  </w:style>
  <w:style w:type="paragraph" w:customStyle="1" w:styleId="62">
    <w:name w:val="Char2"/>
    <w:basedOn w:val="1"/>
    <w:qFormat/>
    <w:uiPriority w:val="0"/>
    <w:rPr>
      <w:rFonts w:ascii="Tahoma" w:hAnsi="Tahoma"/>
      <w:sz w:val="24"/>
      <w:szCs w:val="20"/>
    </w:rPr>
  </w:style>
  <w:style w:type="paragraph" w:customStyle="1" w:styleId="63">
    <w:name w:val="aa"/>
    <w:basedOn w:val="1"/>
    <w:qFormat/>
    <w:uiPriority w:val="0"/>
    <w:pPr>
      <w:widowControl/>
      <w:spacing w:before="100" w:beforeAutospacing="1" w:after="100" w:afterAutospacing="1"/>
      <w:jc w:val="left"/>
    </w:pPr>
    <w:rPr>
      <w:rFonts w:ascii="宋体" w:hAnsi="宋体" w:cs="宋体"/>
      <w:kern w:val="0"/>
      <w:sz w:val="15"/>
      <w:szCs w:val="15"/>
    </w:rPr>
  </w:style>
  <w:style w:type="paragraph" w:customStyle="1" w:styleId="64">
    <w:name w:val="Char"/>
    <w:basedOn w:val="1"/>
    <w:qFormat/>
    <w:uiPriority w:val="0"/>
    <w:pPr>
      <w:tabs>
        <w:tab w:val="left" w:pos="360"/>
      </w:tabs>
    </w:pPr>
    <w:rPr>
      <w:sz w:val="24"/>
    </w:rPr>
  </w:style>
  <w:style w:type="paragraph" w:customStyle="1" w:styleId="65">
    <w:name w:val="样式 标题 4 +"/>
    <w:basedOn w:val="5"/>
    <w:qFormat/>
    <w:uiPriority w:val="0"/>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customStyle="1" w:styleId="66">
    <w:name w:val="样式1"/>
    <w:basedOn w:val="1"/>
    <w:next w:val="5"/>
    <w:qFormat/>
    <w:uiPriority w:val="0"/>
    <w:pPr>
      <w:spacing w:line="360" w:lineRule="auto"/>
      <w:ind w:firstLine="420" w:firstLineChars="200"/>
    </w:pPr>
    <w:rPr>
      <w:rFonts w:ascii="宋体" w:hAnsi="宋体"/>
      <w:szCs w:val="21"/>
    </w:rPr>
  </w:style>
  <w:style w:type="character" w:customStyle="1" w:styleId="67">
    <w:name w:val="正文文本 3 字符"/>
    <w:link w:val="16"/>
    <w:qFormat/>
    <w:uiPriority w:val="0"/>
    <w:rPr>
      <w:rFonts w:ascii="宋体" w:hAnsi="宋体"/>
      <w:sz w:val="24"/>
    </w:rPr>
  </w:style>
  <w:style w:type="character" w:customStyle="1" w:styleId="68">
    <w:name w:val="正文文本缩进 2 字符"/>
    <w:link w:val="26"/>
    <w:qFormat/>
    <w:uiPriority w:val="0"/>
    <w:rPr>
      <w:rFonts w:ascii="宋体"/>
      <w:kern w:val="2"/>
      <w:sz w:val="30"/>
    </w:rPr>
  </w:style>
  <w:style w:type="character" w:customStyle="1" w:styleId="69">
    <w:name w:val="正文文本 2 字符"/>
    <w:link w:val="37"/>
    <w:qFormat/>
    <w:uiPriority w:val="0"/>
    <w:rPr>
      <w:rFonts w:ascii="宋体"/>
      <w:sz w:val="24"/>
    </w:rPr>
  </w:style>
  <w:style w:type="paragraph" w:customStyle="1" w:styleId="70">
    <w:name w:val="_Style 26"/>
    <w:basedOn w:val="1"/>
    <w:next w:val="23"/>
    <w:qFormat/>
    <w:uiPriority w:val="0"/>
    <w:rPr>
      <w:rFonts w:ascii="宋体" w:hAnsi="Courier New"/>
      <w:szCs w:val="20"/>
    </w:rPr>
  </w:style>
  <w:style w:type="paragraph" w:customStyle="1" w:styleId="71">
    <w:name w:val="Char Char1 Char Char Char Char Char Char Char Char"/>
    <w:basedOn w:val="1"/>
    <w:qFormat/>
    <w:uiPriority w:val="0"/>
    <w:pPr>
      <w:widowControl/>
      <w:spacing w:after="160" w:line="240" w:lineRule="exact"/>
      <w:jc w:val="left"/>
    </w:pPr>
    <w:rPr>
      <w:szCs w:val="20"/>
    </w:rPr>
  </w:style>
  <w:style w:type="paragraph" w:customStyle="1" w:styleId="72">
    <w:name w:val="p0"/>
    <w:basedOn w:val="1"/>
    <w:qFormat/>
    <w:uiPriority w:val="0"/>
    <w:pPr>
      <w:widowControl/>
    </w:pPr>
    <w:rPr>
      <w:kern w:val="0"/>
      <w:szCs w:val="21"/>
    </w:rPr>
  </w:style>
  <w:style w:type="paragraph" w:customStyle="1" w:styleId="73">
    <w:name w:val="Char Char Char Char Char Char Char"/>
    <w:basedOn w:val="1"/>
    <w:qFormat/>
    <w:uiPriority w:val="0"/>
    <w:rPr>
      <w:kern w:val="0"/>
      <w:szCs w:val="20"/>
    </w:rPr>
  </w:style>
  <w:style w:type="paragraph" w:customStyle="1" w:styleId="74">
    <w:name w:val="Char Char Char Char"/>
    <w:basedOn w:val="1"/>
    <w:qFormat/>
    <w:uiPriority w:val="0"/>
    <w:pPr>
      <w:spacing w:line="360" w:lineRule="auto"/>
      <w:jc w:val="center"/>
    </w:pPr>
    <w:rPr>
      <w:rFonts w:eastAsia="仿宋_GB2312"/>
      <w:b/>
      <w:sz w:val="28"/>
      <w:szCs w:val="32"/>
    </w:rPr>
  </w:style>
  <w:style w:type="paragraph" w:customStyle="1" w:styleId="75">
    <w:name w:val="默认段落字体 Para Char Char Char Char"/>
    <w:basedOn w:val="1"/>
    <w:qFormat/>
    <w:uiPriority w:val="0"/>
    <w:rPr>
      <w:sz w:val="28"/>
    </w:rPr>
  </w:style>
  <w:style w:type="paragraph" w:customStyle="1" w:styleId="76">
    <w:name w:val="样式7"/>
    <w:basedOn w:val="1"/>
    <w:qFormat/>
    <w:uiPriority w:val="0"/>
    <w:pPr>
      <w:spacing w:line="500" w:lineRule="exact"/>
      <w:jc w:val="center"/>
    </w:pPr>
    <w:rPr>
      <w:rFonts w:ascii="宋体"/>
      <w:b/>
      <w:sz w:val="32"/>
      <w:szCs w:val="20"/>
    </w:rPr>
  </w:style>
  <w:style w:type="paragraph" w:customStyle="1" w:styleId="77">
    <w:name w:val="样式Y"/>
    <w:basedOn w:val="78"/>
    <w:next w:val="78"/>
    <w:qFormat/>
    <w:uiPriority w:val="0"/>
    <w:pPr>
      <w:numPr>
        <w:ilvl w:val="1"/>
        <w:numId w:val="1"/>
      </w:numPr>
      <w:tabs>
        <w:tab w:val="left" w:pos="1020"/>
      </w:tabs>
    </w:pPr>
    <w:rPr>
      <w:b/>
    </w:rPr>
  </w:style>
  <w:style w:type="paragraph" w:customStyle="1" w:styleId="78">
    <w:name w:val="样式X"/>
    <w:basedOn w:val="1"/>
    <w:qFormat/>
    <w:uiPriority w:val="0"/>
    <w:pPr>
      <w:tabs>
        <w:tab w:val="left" w:pos="1020"/>
      </w:tabs>
      <w:adjustRightInd w:val="0"/>
      <w:spacing w:after="460" w:line="360" w:lineRule="auto"/>
      <w:ind w:left="1020" w:hanging="540"/>
      <w:textAlignment w:val="baseline"/>
    </w:pPr>
    <w:rPr>
      <w:kern w:val="0"/>
      <w:szCs w:val="20"/>
    </w:rPr>
  </w:style>
  <w:style w:type="character" w:customStyle="1" w:styleId="79">
    <w:name w:val="textcontents"/>
    <w:qFormat/>
    <w:uiPriority w:val="0"/>
  </w:style>
  <w:style w:type="character" w:customStyle="1" w:styleId="80">
    <w:name w:val="text1"/>
    <w:qFormat/>
    <w:uiPriority w:val="0"/>
    <w:rPr>
      <w:spacing w:val="8"/>
      <w:sz w:val="21"/>
      <w:szCs w:val="21"/>
    </w:rPr>
  </w:style>
  <w:style w:type="paragraph" w:customStyle="1" w:styleId="81">
    <w:name w:val="Char1"/>
    <w:basedOn w:val="1"/>
    <w:qFormat/>
    <w:uiPriority w:val="0"/>
    <w:rPr>
      <w:rFonts w:ascii="仿宋_GB2312" w:eastAsia="仿宋_GB2312"/>
      <w:b/>
      <w:sz w:val="32"/>
      <w:szCs w:val="32"/>
    </w:rPr>
  </w:style>
  <w:style w:type="character" w:customStyle="1" w:styleId="82">
    <w:name w:val="标题 1 字符"/>
    <w:link w:val="2"/>
    <w:qFormat/>
    <w:uiPriority w:val="0"/>
    <w:rPr>
      <w:rFonts w:eastAsia="黑体"/>
      <w:b/>
      <w:kern w:val="44"/>
      <w:sz w:val="32"/>
    </w:rPr>
  </w:style>
  <w:style w:type="character" w:customStyle="1" w:styleId="83">
    <w:name w:val="标题 2 字符"/>
    <w:link w:val="3"/>
    <w:qFormat/>
    <w:uiPriority w:val="0"/>
    <w:rPr>
      <w:rFonts w:ascii="Arial" w:hAnsi="Arial" w:eastAsia="黑体"/>
      <w:b/>
      <w:bCs/>
      <w:kern w:val="2"/>
      <w:sz w:val="32"/>
      <w:szCs w:val="32"/>
    </w:rPr>
  </w:style>
  <w:style w:type="character" w:customStyle="1" w:styleId="84">
    <w:name w:val="批注文字 字符"/>
    <w:link w:val="15"/>
    <w:qFormat/>
    <w:uiPriority w:val="0"/>
    <w:rPr>
      <w:kern w:val="2"/>
      <w:sz w:val="21"/>
      <w:szCs w:val="24"/>
    </w:rPr>
  </w:style>
  <w:style w:type="character" w:customStyle="1" w:styleId="85">
    <w:name w:val="页脚 字符"/>
    <w:link w:val="28"/>
    <w:qFormat/>
    <w:uiPriority w:val="99"/>
    <w:rPr>
      <w:kern w:val="2"/>
      <w:sz w:val="18"/>
      <w:szCs w:val="18"/>
    </w:rPr>
  </w:style>
  <w:style w:type="character" w:customStyle="1" w:styleId="86">
    <w:name w:val="正文文本 字符"/>
    <w:link w:val="17"/>
    <w:qFormat/>
    <w:locked/>
    <w:uiPriority w:val="0"/>
    <w:rPr>
      <w:kern w:val="2"/>
      <w:sz w:val="21"/>
      <w:szCs w:val="24"/>
    </w:rPr>
  </w:style>
  <w:style w:type="character" w:customStyle="1" w:styleId="87">
    <w:name w:val="正文文本 Char1"/>
    <w:qFormat/>
    <w:uiPriority w:val="0"/>
    <w:rPr>
      <w:kern w:val="2"/>
      <w:sz w:val="21"/>
      <w:szCs w:val="24"/>
    </w:rPr>
  </w:style>
  <w:style w:type="character" w:customStyle="1" w:styleId="88">
    <w:name w:val="正文文本缩进 字符"/>
    <w:link w:val="18"/>
    <w:qFormat/>
    <w:locked/>
    <w:uiPriority w:val="0"/>
    <w:rPr>
      <w:kern w:val="2"/>
      <w:sz w:val="24"/>
      <w:szCs w:val="24"/>
    </w:rPr>
  </w:style>
  <w:style w:type="character" w:customStyle="1" w:styleId="89">
    <w:name w:val="正文文本缩进 Char1"/>
    <w:semiHidden/>
    <w:qFormat/>
    <w:uiPriority w:val="0"/>
    <w:rPr>
      <w:kern w:val="2"/>
      <w:sz w:val="21"/>
      <w:szCs w:val="24"/>
    </w:rPr>
  </w:style>
  <w:style w:type="character" w:customStyle="1" w:styleId="90">
    <w:name w:val="日期 字符"/>
    <w:link w:val="25"/>
    <w:qFormat/>
    <w:uiPriority w:val="0"/>
    <w:rPr>
      <w:kern w:val="2"/>
      <w:sz w:val="21"/>
      <w:szCs w:val="24"/>
    </w:rPr>
  </w:style>
  <w:style w:type="character" w:customStyle="1" w:styleId="91">
    <w:name w:val="正文文本缩进 3 字符"/>
    <w:link w:val="34"/>
    <w:qFormat/>
    <w:uiPriority w:val="0"/>
    <w:rPr>
      <w:kern w:val="2"/>
      <w:sz w:val="16"/>
      <w:szCs w:val="16"/>
    </w:rPr>
  </w:style>
  <w:style w:type="character" w:customStyle="1" w:styleId="92">
    <w:name w:val="批注主题 字符"/>
    <w:link w:val="40"/>
    <w:qFormat/>
    <w:uiPriority w:val="0"/>
    <w:rPr>
      <w:b/>
      <w:bCs/>
      <w:kern w:val="2"/>
      <w:sz w:val="21"/>
      <w:szCs w:val="24"/>
    </w:rPr>
  </w:style>
  <w:style w:type="character" w:customStyle="1" w:styleId="93">
    <w:name w:val="Heading 1 Char"/>
    <w:qFormat/>
    <w:locked/>
    <w:uiPriority w:val="0"/>
    <w:rPr>
      <w:rFonts w:eastAsia="黑体"/>
      <w:b/>
      <w:kern w:val="44"/>
      <w:sz w:val="32"/>
    </w:rPr>
  </w:style>
  <w:style w:type="character" w:customStyle="1" w:styleId="94">
    <w:name w:val="Heading 3 Char"/>
    <w:qFormat/>
    <w:locked/>
    <w:uiPriority w:val="0"/>
    <w:rPr>
      <w:rFonts w:eastAsia="宋体" w:cs="Times New Roman"/>
      <w:b/>
      <w:kern w:val="2"/>
      <w:sz w:val="32"/>
      <w:lang w:val="en-US" w:eastAsia="zh-CN"/>
    </w:rPr>
  </w:style>
  <w:style w:type="character" w:customStyle="1" w:styleId="95">
    <w:name w:val="Comment Text Char"/>
    <w:qFormat/>
    <w:locked/>
    <w:uiPriority w:val="0"/>
    <w:rPr>
      <w:rFonts w:cs="Times New Roman"/>
      <w:kern w:val="2"/>
      <w:sz w:val="24"/>
    </w:rPr>
  </w:style>
  <w:style w:type="character" w:customStyle="1" w:styleId="96">
    <w:name w:val="标题 5 字符"/>
    <w:link w:val="6"/>
    <w:qFormat/>
    <w:uiPriority w:val="0"/>
    <w:rPr>
      <w:rFonts w:ascii="Calibri" w:hAnsi="Calibri"/>
      <w:b/>
      <w:bCs/>
      <w:kern w:val="2"/>
      <w:sz w:val="28"/>
      <w:szCs w:val="28"/>
    </w:rPr>
  </w:style>
  <w:style w:type="character" w:customStyle="1" w:styleId="97">
    <w:name w:val="标题 6 字符"/>
    <w:link w:val="7"/>
    <w:qFormat/>
    <w:uiPriority w:val="0"/>
    <w:rPr>
      <w:rFonts w:ascii="Cambria" w:hAnsi="Cambria"/>
      <w:b/>
      <w:bCs/>
      <w:kern w:val="2"/>
      <w:sz w:val="24"/>
      <w:szCs w:val="24"/>
    </w:rPr>
  </w:style>
  <w:style w:type="character" w:customStyle="1" w:styleId="98">
    <w:name w:val="正文缩进 字符"/>
    <w:link w:val="12"/>
    <w:qFormat/>
    <w:uiPriority w:val="0"/>
    <w:rPr>
      <w:kern w:val="2"/>
      <w:sz w:val="21"/>
    </w:rPr>
  </w:style>
  <w:style w:type="character" w:customStyle="1" w:styleId="99">
    <w:name w:val="明显引用 Char"/>
    <w:link w:val="100"/>
    <w:qFormat/>
    <w:uiPriority w:val="0"/>
    <w:rPr>
      <w:b/>
      <w:bCs/>
      <w:i/>
      <w:iCs/>
      <w:color w:val="4F81BD"/>
      <w:kern w:val="2"/>
      <w:sz w:val="21"/>
      <w:szCs w:val="22"/>
    </w:rPr>
  </w:style>
  <w:style w:type="paragraph" w:customStyle="1" w:styleId="100">
    <w:name w:val="明显引用1"/>
    <w:basedOn w:val="1"/>
    <w:next w:val="1"/>
    <w:link w:val="99"/>
    <w:qFormat/>
    <w:uiPriority w:val="0"/>
    <w:pPr>
      <w:pBdr>
        <w:bottom w:val="single" w:color="4F81BD" w:sz="4" w:space="4"/>
      </w:pBdr>
      <w:spacing w:before="200" w:after="280"/>
      <w:ind w:left="936" w:right="936"/>
    </w:pPr>
    <w:rPr>
      <w:b/>
      <w:bCs/>
      <w:i/>
      <w:iCs/>
      <w:color w:val="4F81BD"/>
      <w:szCs w:val="22"/>
    </w:rPr>
  </w:style>
  <w:style w:type="character" w:customStyle="1" w:styleId="101">
    <w:name w:val="书籍标题1"/>
    <w:qFormat/>
    <w:uiPriority w:val="0"/>
    <w:rPr>
      <w:b/>
      <w:bCs/>
      <w:smallCaps/>
      <w:spacing w:val="5"/>
    </w:rPr>
  </w:style>
  <w:style w:type="character" w:customStyle="1" w:styleId="102">
    <w:name w:val="标题 字符"/>
    <w:link w:val="39"/>
    <w:qFormat/>
    <w:uiPriority w:val="0"/>
    <w:rPr>
      <w:rFonts w:ascii="Cambria" w:hAnsi="Cambria"/>
      <w:b/>
      <w:bCs/>
      <w:kern w:val="2"/>
      <w:sz w:val="32"/>
      <w:szCs w:val="32"/>
    </w:rPr>
  </w:style>
  <w:style w:type="character" w:customStyle="1" w:styleId="103">
    <w:name w:val="副标题 字符"/>
    <w:link w:val="32"/>
    <w:qFormat/>
    <w:uiPriority w:val="0"/>
    <w:rPr>
      <w:rFonts w:ascii="Cambria" w:hAnsi="Cambria"/>
      <w:b/>
      <w:bCs/>
      <w:kern w:val="28"/>
      <w:sz w:val="32"/>
      <w:szCs w:val="32"/>
    </w:rPr>
  </w:style>
  <w:style w:type="character" w:customStyle="1" w:styleId="104">
    <w:name w:val="明显强调1"/>
    <w:qFormat/>
    <w:uiPriority w:val="0"/>
    <w:rPr>
      <w:b/>
      <w:bCs/>
      <w:i/>
      <w:iCs/>
      <w:color w:val="4F81BD"/>
    </w:rPr>
  </w:style>
  <w:style w:type="character" w:customStyle="1" w:styleId="105">
    <w:name w:val="标题5 Char Char"/>
    <w:link w:val="106"/>
    <w:qFormat/>
    <w:uiPriority w:val="0"/>
    <w:rPr>
      <w:rFonts w:ascii="Arial" w:hAnsi="Arial"/>
      <w:b/>
      <w:bCs/>
      <w:sz w:val="24"/>
      <w:szCs w:val="32"/>
    </w:rPr>
  </w:style>
  <w:style w:type="paragraph" w:customStyle="1" w:styleId="106">
    <w:name w:val="标题5"/>
    <w:basedOn w:val="4"/>
    <w:link w:val="105"/>
    <w:qFormat/>
    <w:uiPriority w:val="0"/>
    <w:pPr>
      <w:spacing w:line="413" w:lineRule="auto"/>
    </w:pPr>
    <w:rPr>
      <w:rFonts w:ascii="Arial" w:hAnsi="Arial"/>
      <w:kern w:val="0"/>
      <w:sz w:val="24"/>
    </w:rPr>
  </w:style>
  <w:style w:type="character" w:customStyle="1" w:styleId="107">
    <w:name w:val="不明显强调1"/>
    <w:qFormat/>
    <w:uiPriority w:val="0"/>
    <w:rPr>
      <w:i/>
      <w:iCs/>
      <w:color w:val="808080"/>
    </w:rPr>
  </w:style>
  <w:style w:type="character" w:customStyle="1" w:styleId="108">
    <w:name w:val="不明显参考1"/>
    <w:qFormat/>
    <w:uiPriority w:val="0"/>
    <w:rPr>
      <w:smallCaps/>
      <w:color w:val="C0504D"/>
      <w:u w:val="single"/>
    </w:rPr>
  </w:style>
  <w:style w:type="character" w:customStyle="1" w:styleId="109">
    <w:name w:val="日期 Char1"/>
    <w:qFormat/>
    <w:uiPriority w:val="0"/>
    <w:rPr>
      <w:kern w:val="2"/>
      <w:sz w:val="21"/>
      <w:szCs w:val="22"/>
    </w:rPr>
  </w:style>
  <w:style w:type="character" w:customStyle="1" w:styleId="110">
    <w:name w:val="批注主题 Char1"/>
    <w:qFormat/>
    <w:uiPriority w:val="0"/>
    <w:rPr>
      <w:b/>
      <w:bCs/>
      <w:kern w:val="2"/>
      <w:sz w:val="21"/>
      <w:szCs w:val="22"/>
    </w:rPr>
  </w:style>
  <w:style w:type="character" w:customStyle="1" w:styleId="111">
    <w:name w:val="批注文字 Char Char"/>
    <w:qFormat/>
    <w:uiPriority w:val="0"/>
    <w:rPr>
      <w:rFonts w:ascii="宋体" w:hAnsi="Times New Roman" w:eastAsia="宋体" w:cs="Times New Roman"/>
      <w:sz w:val="28"/>
      <w:szCs w:val="20"/>
    </w:rPr>
  </w:style>
  <w:style w:type="character" w:customStyle="1" w:styleId="112">
    <w:name w:val="明显参考1"/>
    <w:qFormat/>
    <w:uiPriority w:val="0"/>
    <w:rPr>
      <w:b/>
      <w:bCs/>
      <w:smallCaps/>
      <w:color w:val="C0504D"/>
      <w:spacing w:val="5"/>
      <w:u w:val="single"/>
    </w:rPr>
  </w:style>
  <w:style w:type="character" w:customStyle="1" w:styleId="113">
    <w:name w:val="批注框文本 Char1"/>
    <w:qFormat/>
    <w:uiPriority w:val="0"/>
    <w:rPr>
      <w:kern w:val="2"/>
      <w:sz w:val="18"/>
      <w:szCs w:val="18"/>
    </w:rPr>
  </w:style>
  <w:style w:type="character" w:customStyle="1" w:styleId="114">
    <w:name w:val="引用 Char"/>
    <w:link w:val="115"/>
    <w:qFormat/>
    <w:uiPriority w:val="0"/>
    <w:rPr>
      <w:i/>
      <w:iCs/>
      <w:color w:val="000000"/>
      <w:kern w:val="2"/>
      <w:sz w:val="21"/>
      <w:szCs w:val="22"/>
    </w:rPr>
  </w:style>
  <w:style w:type="paragraph" w:customStyle="1" w:styleId="115">
    <w:name w:val="引用1"/>
    <w:basedOn w:val="1"/>
    <w:next w:val="1"/>
    <w:link w:val="114"/>
    <w:qFormat/>
    <w:uiPriority w:val="0"/>
    <w:rPr>
      <w:i/>
      <w:iCs/>
      <w:color w:val="000000"/>
      <w:szCs w:val="22"/>
    </w:rPr>
  </w:style>
  <w:style w:type="character" w:customStyle="1" w:styleId="116">
    <w:name w:val="文档结构图 字符"/>
    <w:link w:val="14"/>
    <w:qFormat/>
    <w:uiPriority w:val="0"/>
    <w:rPr>
      <w:kern w:val="2"/>
      <w:sz w:val="21"/>
      <w:szCs w:val="24"/>
      <w:shd w:val="clear" w:color="auto" w:fill="000080"/>
    </w:rPr>
  </w:style>
  <w:style w:type="character" w:customStyle="1" w:styleId="117">
    <w:name w:val="文档结构图 Char1"/>
    <w:qFormat/>
    <w:uiPriority w:val="0"/>
    <w:rPr>
      <w:rFonts w:ascii="宋体"/>
      <w:kern w:val="2"/>
      <w:sz w:val="18"/>
      <w:szCs w:val="18"/>
    </w:rPr>
  </w:style>
  <w:style w:type="paragraph" w:customStyle="1" w:styleId="118">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9">
    <w:name w:val="副标题 Char1"/>
    <w:qFormat/>
    <w:uiPriority w:val="0"/>
    <w:rPr>
      <w:rFonts w:ascii="Cambria" w:hAnsi="Cambria" w:cs="Times New Roman"/>
      <w:b/>
      <w:bCs/>
      <w:kern w:val="28"/>
      <w:sz w:val="32"/>
      <w:szCs w:val="32"/>
    </w:rPr>
  </w:style>
  <w:style w:type="character" w:customStyle="1" w:styleId="120">
    <w:name w:val="标题 Char1"/>
    <w:qFormat/>
    <w:uiPriority w:val="0"/>
    <w:rPr>
      <w:rFonts w:ascii="Cambria" w:hAnsi="Cambria" w:cs="Times New Roman"/>
      <w:b/>
      <w:bCs/>
      <w:kern w:val="2"/>
      <w:sz w:val="32"/>
      <w:szCs w:val="32"/>
    </w:rPr>
  </w:style>
  <w:style w:type="character" w:customStyle="1" w:styleId="121">
    <w:name w:val="明显引用 Char1"/>
    <w:qFormat/>
    <w:uiPriority w:val="30"/>
    <w:rPr>
      <w:b/>
      <w:bCs/>
      <w:i/>
      <w:iCs/>
      <w:color w:val="4F81BD"/>
      <w:kern w:val="2"/>
      <w:sz w:val="21"/>
      <w:szCs w:val="24"/>
    </w:rPr>
  </w:style>
  <w:style w:type="paragraph" w:customStyle="1" w:styleId="122">
    <w:name w:val="列出段落1"/>
    <w:basedOn w:val="1"/>
    <w:qFormat/>
    <w:uiPriority w:val="0"/>
    <w:pPr>
      <w:ind w:firstLine="420" w:firstLineChars="200"/>
    </w:pPr>
    <w:rPr>
      <w:rFonts w:ascii="Calibri" w:hAnsi="Calibri"/>
      <w:szCs w:val="22"/>
    </w:rPr>
  </w:style>
  <w:style w:type="character" w:customStyle="1" w:styleId="123">
    <w:name w:val="引用 Char1"/>
    <w:qFormat/>
    <w:uiPriority w:val="29"/>
    <w:rPr>
      <w:i/>
      <w:iCs/>
      <w:color w:val="000000"/>
      <w:kern w:val="2"/>
      <w:sz w:val="21"/>
      <w:szCs w:val="24"/>
    </w:rPr>
  </w:style>
  <w:style w:type="paragraph" w:customStyle="1" w:styleId="124">
    <w:name w:val="修订1"/>
    <w:qFormat/>
    <w:uiPriority w:val="0"/>
    <w:rPr>
      <w:rFonts w:ascii="Times New Roman" w:hAnsi="Times New Roman" w:eastAsia="宋体" w:cs="Times New Roman"/>
      <w:kern w:val="2"/>
      <w:sz w:val="21"/>
      <w:szCs w:val="24"/>
      <w:lang w:val="en-US" w:eastAsia="zh-CN" w:bidi="ar-SA"/>
    </w:rPr>
  </w:style>
  <w:style w:type="paragraph" w:customStyle="1" w:styleId="12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27">
    <w:name w:val="TOC 标题1"/>
    <w:basedOn w:val="2"/>
    <w:next w:val="1"/>
    <w:qFormat/>
    <w:uiPriority w:val="39"/>
    <w:pPr>
      <w:spacing w:before="340" w:after="330" w:line="576" w:lineRule="auto"/>
      <w:jc w:val="both"/>
      <w:outlineLvl w:val="9"/>
    </w:pPr>
    <w:rPr>
      <w:rFonts w:ascii="Calibri" w:hAnsi="Calibri" w:eastAsia="宋体"/>
      <w:bCs/>
      <w:sz w:val="44"/>
      <w:szCs w:val="44"/>
    </w:rPr>
  </w:style>
  <w:style w:type="paragraph" w:customStyle="1" w:styleId="128">
    <w:name w:val="reader-word-layer reader-word-s4-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
    <w:name w:val="Char Char1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styleId="130">
    <w:name w:val="List Paragraph"/>
    <w:basedOn w:val="1"/>
    <w:unhideWhenUsed/>
    <w:qFormat/>
    <w:uiPriority w:val="99"/>
    <w:pPr>
      <w:ind w:firstLine="420" w:firstLineChars="200"/>
    </w:pPr>
  </w:style>
  <w:style w:type="paragraph" w:customStyle="1" w:styleId="131">
    <w:name w:val="TOC 标题2"/>
    <w:basedOn w:val="2"/>
    <w:next w:val="1"/>
    <w:semiHidden/>
    <w:unhideWhenUsed/>
    <w:qFormat/>
    <w:uiPriority w:val="39"/>
    <w:pPr>
      <w:widowControl/>
      <w:spacing w:before="48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character" w:customStyle="1" w:styleId="132">
    <w:name w:val="批注文字 Char"/>
    <w:qFormat/>
    <w:uiPriority w:val="99"/>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964E7E-2994-4D61-914E-C864A0FB752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125</Pages>
  <Words>10861</Words>
  <Characters>61908</Characters>
  <Lines>515</Lines>
  <Paragraphs>145</Paragraphs>
  <TotalTime>20</TotalTime>
  <ScaleCrop>false</ScaleCrop>
  <LinksUpToDate>false</LinksUpToDate>
  <CharactersWithSpaces>72624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2020-06-16T01:58:00Z</dcterms:created>
  <dc:creator>微软用户</dc:creator>
  <cp:lastModifiedBy>Huawei</cp:lastModifiedBy>
  <cp:lastPrinted>2018-04-19T14:05:00Z</cp:lastPrinted>
  <dcterms:modified xsi:type="dcterms:W3CDTF">2020-08-31T02:31:15Z</dcterms:modified>
  <dc:title>第一章  建设工程招标公告（施工）</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